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E7" w:rsidRDefault="004B67E7" w:rsidP="004B67E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bookmarkStart w:id="0" w:name="_GoBack"/>
      <w:bookmarkEnd w:id="0"/>
    </w:p>
    <w:p w:rsidR="009E75A9" w:rsidRPr="000E06D2" w:rsidRDefault="009E75A9" w:rsidP="004B67E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n-US"/>
        </w:rPr>
      </w:pPr>
    </w:p>
    <w:p w:rsidR="00FD6354" w:rsidRPr="004B67E7" w:rsidRDefault="004B67E7" w:rsidP="004B67E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DE71C8">
        <w:rPr>
          <w:rFonts w:ascii="Tahoma" w:hAnsi="Tahoma" w:cs="Tahoma"/>
          <w:noProof/>
          <w:lang w:eastAsia="ru-RU"/>
        </w:rPr>
        <mc:AlternateContent>
          <mc:Choice Requires="wps">
            <w:drawing>
              <wp:inline distT="0" distB="0" distL="0" distR="0" wp14:anchorId="133D51AC" wp14:editId="3272FAF8">
                <wp:extent cx="6108971" cy="3895725"/>
                <wp:effectExtent l="0" t="0" r="25400" b="28575"/>
                <wp:docPr id="1035" name="Прямоугольник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971" cy="38957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810" w:rsidRPr="009F7EC0" w:rsidRDefault="009A2810" w:rsidP="00B77393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56"/>
                              </w:rPr>
                              <w:t>СОСТОЯНИЕ ЭКОЛОГИЧЕСКОЙ БЕЗОПАСНОСТИ</w:t>
                            </w:r>
                            <w:r w:rsidRPr="009F7EC0"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НА ОБЪЕКТАХ </w:t>
                            </w:r>
                            <w:r w:rsidRPr="00B77393"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56"/>
                              </w:rPr>
                              <w:t>СП ООО «АНДИЖАНПЕТРО»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56"/>
                              </w:rPr>
                              <w:br/>
                              <w:t>ЗА 2021</w:t>
                            </w:r>
                            <w:r w:rsidRPr="00B77393">
                              <w:rPr>
                                <w:rFonts w:ascii="Tahoma" w:hAnsi="Tahoma" w:cs="Tahoma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ГОД</w:t>
                            </w:r>
                          </w:p>
                          <w:p w:rsidR="009A2810" w:rsidRDefault="009A2810" w:rsidP="004B67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3D51AC" id="Прямоугольник 1035" o:spid="_x0000_s1026" style="width:481pt;height:30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" fillcolor="#00b050" strokecolor="#00b050" strokeweight="1pt">
                <v:textbox>
                  <w:txbxContent>
                    <w:p w:rsidR="009A2810" w:rsidRPr="009F7EC0" w:rsidRDefault="009A2810" w:rsidP="00B77393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56"/>
                        </w:rPr>
                        <w:t>СОСТОЯНИЕ ЭКОЛОГИЧЕСКОЙ БЕЗОПАСНОСТИ</w:t>
                      </w:r>
                      <w:r w:rsidRPr="009F7EC0"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56"/>
                        </w:rPr>
                        <w:t xml:space="preserve">НА ОБЪЕКТАХ </w:t>
                      </w:r>
                      <w:r w:rsidRPr="00B77393"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56"/>
                        </w:rPr>
                        <w:t>СП ООО «АНДИЖАНПЕТРО»</w:t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56"/>
                        </w:rPr>
                        <w:br/>
                        <w:t>ЗА 2021</w:t>
                      </w:r>
                      <w:r w:rsidRPr="00B77393">
                        <w:rPr>
                          <w:rFonts w:ascii="Tahoma" w:hAnsi="Tahoma" w:cs="Tahoma"/>
                          <w:color w:val="FFFFFF" w:themeColor="background1"/>
                          <w:sz w:val="56"/>
                          <w:szCs w:val="56"/>
                        </w:rPr>
                        <w:t xml:space="preserve"> ГОД</w:t>
                      </w:r>
                    </w:p>
                    <w:p w:rsidR="009A2810" w:rsidRDefault="009A2810" w:rsidP="004B67E7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FD6354" w:rsidRPr="004B67E7" w:rsidRDefault="00FD6354" w:rsidP="004B67E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FD6354" w:rsidRPr="007A5F5B" w:rsidRDefault="00FD6354" w:rsidP="004B67E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4B67E7" w:rsidRPr="007A5F5B" w:rsidRDefault="004B67E7" w:rsidP="004B67E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FD6354" w:rsidRPr="007A5F5B" w:rsidRDefault="00FD6354" w:rsidP="004B67E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FD6354" w:rsidRPr="007A5F5B" w:rsidRDefault="004B67E7" w:rsidP="004B67E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A5F5B">
        <w:rPr>
          <w:rFonts w:ascii="Tahoma" w:hAnsi="Tahoma" w:cs="Tahoma"/>
          <w:noProof/>
          <w:lang w:eastAsia="ru-RU"/>
        </w:rPr>
        <w:drawing>
          <wp:inline distT="0" distB="0" distL="0" distR="0" wp14:anchorId="7612969E" wp14:editId="4229290E">
            <wp:extent cx="6119495" cy="4042626"/>
            <wp:effectExtent l="0" t="0" r="0" b="0"/>
            <wp:docPr id="1036" name="Рисунок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p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04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7E7" w:rsidRPr="007A5F5B" w:rsidRDefault="004B67E7" w:rsidP="00413DC7">
      <w:pPr>
        <w:pageBreakBefore/>
        <w:spacing w:after="0" w:line="240" w:lineRule="auto"/>
        <w:jc w:val="center"/>
        <w:outlineLvl w:val="4"/>
        <w:rPr>
          <w:rFonts w:ascii="Tahoma" w:eastAsia="Calibri" w:hAnsi="Tahoma" w:cs="Tahoma"/>
          <w:b/>
          <w:sz w:val="24"/>
          <w:szCs w:val="24"/>
        </w:rPr>
      </w:pPr>
      <w:r w:rsidRPr="007A5F5B">
        <w:rPr>
          <w:rFonts w:ascii="Tahoma" w:eastAsia="Calibri" w:hAnsi="Tahoma" w:cs="Tahoma"/>
          <w:b/>
          <w:sz w:val="24"/>
          <w:szCs w:val="24"/>
        </w:rPr>
        <w:lastRenderedPageBreak/>
        <w:t>ОГЛАВЛЕНИЕ</w:t>
      </w:r>
    </w:p>
    <w:p w:rsidR="004B67E7" w:rsidRPr="007A5F5B" w:rsidRDefault="004B67E7" w:rsidP="004B67E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4B67E7" w:rsidRPr="007A5F5B" w:rsidRDefault="004B67E7" w:rsidP="004B67E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413DC7" w:rsidRPr="00E74611" w:rsidRDefault="00413DC7" w:rsidP="0067023E">
      <w:pPr>
        <w:pStyle w:val="11"/>
        <w:tabs>
          <w:tab w:val="left" w:pos="567"/>
          <w:tab w:val="right" w:leader="dot" w:pos="9627"/>
        </w:tabs>
        <w:autoSpaceDE w:val="0"/>
        <w:autoSpaceDN w:val="0"/>
        <w:adjustRightInd w:val="0"/>
        <w:spacing w:after="120" w:line="360" w:lineRule="auto"/>
        <w:ind w:left="567" w:hanging="567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r w:rsidRPr="00E74611"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  <w:fldChar w:fldCharType="begin"/>
      </w:r>
      <w:r w:rsidRPr="00E74611"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  <w:instrText xml:space="preserve"> TOC \o "1-3" \h \z \u </w:instrText>
      </w:r>
      <w:r w:rsidRPr="00E74611"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  <w:fldChar w:fldCharType="separate"/>
      </w:r>
      <w:hyperlink w:anchor="_Toc114837519" w:history="1">
        <w:r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РАЗДЕЛ I. ЭКОЛОГИЧЕСКИЙ МЕНЕДЖМЕНТ</w:t>
        </w:r>
        <w:r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_Toc114837519 \h </w:instrText>
        </w:r>
        <w:r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6</w:t>
        </w:r>
        <w:r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20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1.1.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Наличие в системе экологического менеджмента (СЭМ) (по стандарту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ISO 14001/ГОСТ Р ИСО 14001 или другим) количественных показателей результативности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_Toc114837520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6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21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1.2.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Наличие экологической политики компании (или иных утвержденных компанией документов)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_Toc114837521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6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22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1.2.1.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Требования по проведению дополнительной оценки рисков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на экологически ценных территориях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_Toc114837522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6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23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1.2.2.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Обязательства по снижению фрагментации ландшафтов и площади нарушенных территорий при освоении новых территорий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_Toc114837523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7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24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1.2.3.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Обязательства по сохранению путей миграции животных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_Toc114837524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7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25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1.2.4.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Требования по оценке кумулятивных эффектов от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 xml:space="preserve">совокупного воздействия компаний в случае реализации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крупных инфраструктурных проектов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_Toc114837525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7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26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1.2.5.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Запрет для работников, в том числе подрядных организаций,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вести охоту и рыбную ловлю в зоне реализации проектов компании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_Toc114837526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7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27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1.2.6.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Требования по проведению комплексной (целостной) оценки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 xml:space="preserve">воздействия на окружающую среду (ОВОС) проекта от стадии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 xml:space="preserve">строительства до стадии ликвидации в границах реализации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проекта и его аффилированных проектов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_Toc114837527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8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28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1.2.7.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Стремление избегать проведения работ на особо охраняемых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 xml:space="preserve">природных территориях (ООПТ), их охранных зонах, объектах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Всемирного природного наследия (ВПН), водно-болотных угодьях международного значения (Рамсарских угодьях)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_Toc114837528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8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29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1.2.8.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Обязательства в области целостности трубопроводов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_Toc114837529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8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30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1.2.9.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Обязательства и/или практики по продвижению/внедрению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принципов «зеленого офиса» в офисах компании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_Toc114837530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8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31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1.2.10.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Требования по повышению экологических показателей транспортных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средств компании (включая ТС подрядных организаций)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_Toc114837531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8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32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1.2.11.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Требования по распространению экологических стандартов компании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на деятельность подрядчиков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_Toc114837532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8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33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1.3.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Наличие документированной информации по взаимодействию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с местным населением по сохранению традиционного уклада жизни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_Toc114837533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9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34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1.4.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Программа по энергоэффективности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_Toc114837534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9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35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1.5.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Наличие в программах по сохранению биоразнообразия в регионах присутствия компании следующих компонентов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_Toc114837535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10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36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1.5.1.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Объем финансирования на сохранение биоразнообразия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_Toc114837536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10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37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1.5.2.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Наличие утвержденного списка видов-индикаторов в регионах присутствия/деятельности компании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_Toc114837537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10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38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1.5.3.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Наличие программ исследования и/или мониторинга видов-индикаторов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_Toc114837538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10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39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1.5.4.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Доступность результатов научных исследований и работ в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области сохранения биоразнообразия в публичном пространстве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_Toc114837539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10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40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1.5.5.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Механизмы участия заинтересованных сторон в обсуждении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программ сохранения биоразнообразия (обсуждение методологии, результатов и др.)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_Toc114837540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10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41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1.6.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Наличие компонента по спасению животных в документах по предупреждению и ликвидации разливов нефти и нефтепродуктов, утвержденных компанией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_Toc114837541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10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42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1.7.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Страхование экологических рисков (в том числе добровольное)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_Toc114837542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10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43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1.8.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Программа по повышению КИН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_Toc114837543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10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44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1.9.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Учет рисков изменения климата в деятельности компании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_Toc114837544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11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45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1.10.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Собственная выработка электрической энергии из возобновляемых источников энергии (ВИЭ) без учета ГЭС мощностью более 50 МВт 5,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в том числе для производственных нужд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_Toc114837545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11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46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1.11.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Контроль со стороны Совета директоров (наблюдательного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органа управления) за реализацией политики в области ООС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_Toc114837546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11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67023E">
      <w:pPr>
        <w:pStyle w:val="11"/>
        <w:tabs>
          <w:tab w:val="left" w:pos="1843"/>
          <w:tab w:val="right" w:leader="dot" w:pos="9627"/>
        </w:tabs>
        <w:autoSpaceDE w:val="0"/>
        <w:autoSpaceDN w:val="0"/>
        <w:adjustRightInd w:val="0"/>
        <w:spacing w:before="120" w:after="120" w:line="360" w:lineRule="auto"/>
        <w:ind w:left="1302" w:hanging="1302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47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РАЗДЕЛ II. ВОЗДЕЙСТВИЕ НА ОКРУЖАЮЩУЮ СРЕДУ (для перевода в т.у.т использовался коэффициент 1,430 (нефть сырая, тонна))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_Toc114837547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12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48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2.1.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Удельные валовые выбросы в атмосферу загрязняющих веществ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(SO2, NOx, ЛОВ)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_Toc114837548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12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49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2.2.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Удельные валовые выбросы в атмосферу парниковых газов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(Scope 1 + Scope 2)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_Toc114837549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12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50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2.3.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Уровень утилизации попутного нефтяного газа (ПНГ)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_Toc114837550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12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51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2.4.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Удельное водоотведение в поверхностные водоемы загрязненных вод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_Toc114837551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12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52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2.5.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Удельное водопотребление на собственные нужды компании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_Toc114837552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12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53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2.6.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Доля утилизированных и обезвреженных отходов (1-4 класс)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_Toc114837553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12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54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2.7.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Доля утилизированных и обезвреженных отходов (1-4 класс)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без учета исторического наследия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_Toc114837554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13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55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2.8.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Отношение площади загрязненных земель на конец отчетного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 xml:space="preserve">года к площади загрязненных земель на конец года,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предшествующего отчетному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_Toc114837555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13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57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2.9.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Отношение площади рекультивированных загрязненных земель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в течение года к площади загрязненных земель в течение года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BF6F3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20</w:t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58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2.10.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Удельная частота инцидентов на трубопроводах, приведших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к разливам нефти, конденсата, нефтепродуктов и пластовых вод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BF6F3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20</w:t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59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2.11.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Удельное количество разлитой нефти, конденсата и нефтепродуктов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в результате аварий и порывов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BF6F3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20</w:t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60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2.12.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Доля сверхнормативных платежей в общем объеме платы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 xml:space="preserve">за негативное воздействие на ОС (отношение экологических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 xml:space="preserve">платежей за сверхнормативные выбросы, сбросы, за размещение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отходов к экологическим платежам, всего за отчетный год)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_Toc114837560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13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67023E">
      <w:pPr>
        <w:pStyle w:val="11"/>
        <w:tabs>
          <w:tab w:val="left" w:pos="567"/>
          <w:tab w:val="right" w:leader="dot" w:pos="9627"/>
        </w:tabs>
        <w:autoSpaceDE w:val="0"/>
        <w:autoSpaceDN w:val="0"/>
        <w:adjustRightInd w:val="0"/>
        <w:spacing w:before="120" w:after="120" w:line="360" w:lineRule="auto"/>
        <w:ind w:left="567" w:hanging="567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61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РАЗДЕЛ III. РАСКРЫТИЕ ИНФОРМАЦИИ / ПРОЗРАЧНОСТЬ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_Toc114837561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14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62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3.1.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Наличие нефинансовой отчетности в области устойчивого развития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 xml:space="preserve">либо экологического отчета в соответствии с требованиями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международных организаций (например, GRI, IPIECA)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_Toc114837562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14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63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3.2.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Внешнее подтверждение (заверение) нефинансовой отчетности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_Toc114837563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14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64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3.3.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Доступность в публичном пространстве документации по оценке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 xml:space="preserve">воздействия на окружающую среду (например, ОВОС) в течение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жизненного цикла проекта для действующих проектов, требующих прохождения государственной экологической экспертизы (ГЭЭ)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_Toc114837564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14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65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3.4.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Доступность в публичном пространстве ПЛАРН и ПЛА (в части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 xml:space="preserve">воздействия на окружающую среду) для общественности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с обязательным размещением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_Toc114837565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14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66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3.5.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Информирование общественности на сайте компании об авариях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 xml:space="preserve">и инцидентах, и мерах по ликвидации их последствий со значительным (вызвавшим общественный резонанс) социально-экологическим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ущербом, включая деятельность компаний подрядчиков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_Toc114837566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14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67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3.6.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Информирование общественности на сайте компании о наличии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 xml:space="preserve">спорных экологических ситуаций и действиях, направленных на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 xml:space="preserve">их разрешение, на территориях присутствия компании, включая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деятельность компаний подрядчиков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_Toc114837567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14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68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3.7.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Наличие установленного порядка работы с обращениями граждан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_Toc114837568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15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69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3.8.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Доступность документированной информации (с количественными результатами, отражающими состояние и динамику) производственного экологического мониторинга для общественности с обязательным размещением в публичном пространстве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BF6F3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22</w:t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70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3.9.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Доступность информации по доле/протяженности трубопроводов, эксплуатируемых компанией сверх нормативного срока службы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BF6F3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22</w:t>
        </w:r>
      </w:hyperlink>
    </w:p>
    <w:p w:rsidR="00413DC7" w:rsidRPr="00E74611" w:rsidRDefault="005B169D" w:rsidP="0067023E">
      <w:pPr>
        <w:pStyle w:val="11"/>
        <w:tabs>
          <w:tab w:val="left" w:pos="567"/>
          <w:tab w:val="right" w:leader="dot" w:pos="9627"/>
        </w:tabs>
        <w:autoSpaceDE w:val="0"/>
        <w:autoSpaceDN w:val="0"/>
        <w:adjustRightInd w:val="0"/>
        <w:spacing w:before="120" w:after="120" w:line="360" w:lineRule="auto"/>
        <w:ind w:left="567" w:hanging="567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71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РАЗДЕЛ IV. ТЕСТОВЫЙ РЕЖИМ В 2022 ГОДУ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_Toc114837571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15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72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4.1.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Критерий в Раздел I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_Toc114837572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15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73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4.1.1.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Наличие внешней верификации инвентаризации источников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выбросов и расчетов выбросов парниковых газов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_Toc114837573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15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74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4.2.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Критерий в Раздел II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_Toc114837574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15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75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4.2.1.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Оценить доступность информации по воздействию на окружающую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среду (критерии II раздела) в сегменте нефтегазохимии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_Toc114837575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16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76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4.3.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>Критерий в Раздел III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_Toc114837576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16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413DC7" w:rsidRPr="00E74611" w:rsidRDefault="005B169D" w:rsidP="00FA033F">
      <w:pPr>
        <w:pStyle w:val="11"/>
        <w:tabs>
          <w:tab w:val="left" w:pos="851"/>
          <w:tab w:val="right" w:leader="dot" w:pos="9628"/>
        </w:tabs>
        <w:autoSpaceDE w:val="0"/>
        <w:autoSpaceDN w:val="0"/>
        <w:adjustRightInd w:val="0"/>
        <w:spacing w:after="0" w:line="360" w:lineRule="auto"/>
        <w:ind w:left="851" w:hanging="851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hyperlink w:anchor="_Toc114837577" w:history="1"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4.3.1.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ab/>
          <w:t xml:space="preserve">Доля от общего числа ключевых предприятий холдинга (ведущих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 xml:space="preserve">реальное производство), которые размещают базовый набор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 xml:space="preserve">экологических показателей в публичном пространстве (например,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 xml:space="preserve">на сайтах предприятий или на сайте головной компании). Базовые показатели – показатели 10, 12, 13, 16, 19 проекта Постановления Правительства о перечне ключевых (базовых) показателей </w:t>
        </w:r>
        <w:r w:rsidR="00D821EC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br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color w:val="auto"/>
            <w:sz w:val="24"/>
            <w:szCs w:val="24"/>
            <w:u w:val="none"/>
          </w:rPr>
          <w:t>публичной нефинансовой отчетности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ab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instrText xml:space="preserve"> PAGEREF _Toc114837577 \h </w:instrTex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3005EE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t>16</w:t>
        </w:r>
        <w:r w:rsidR="00413DC7" w:rsidRPr="00E74611">
          <w:rPr>
            <w:rStyle w:val="a8"/>
            <w:rFonts w:ascii="Tahoma" w:eastAsia="Times New Roman" w:hAnsi="Tahoma" w:cs="Tahoma"/>
            <w:bCs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FD6354" w:rsidRPr="00E74611" w:rsidRDefault="00413DC7" w:rsidP="00413DC7">
      <w:pPr>
        <w:pStyle w:val="11"/>
        <w:tabs>
          <w:tab w:val="left" w:pos="567"/>
          <w:tab w:val="right" w:leader="dot" w:pos="9628"/>
        </w:tabs>
        <w:autoSpaceDE w:val="0"/>
        <w:autoSpaceDN w:val="0"/>
        <w:adjustRightInd w:val="0"/>
        <w:spacing w:after="0" w:line="360" w:lineRule="auto"/>
        <w:ind w:left="567" w:hanging="567"/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</w:pPr>
      <w:r w:rsidRPr="00E74611">
        <w:rPr>
          <w:rStyle w:val="a8"/>
          <w:rFonts w:ascii="Tahoma" w:eastAsia="Times New Roman" w:hAnsi="Tahoma" w:cs="Tahoma"/>
          <w:bCs/>
          <w:noProof/>
          <w:color w:val="auto"/>
          <w:sz w:val="24"/>
          <w:szCs w:val="24"/>
          <w:u w:val="none"/>
        </w:rPr>
        <w:fldChar w:fldCharType="end"/>
      </w:r>
    </w:p>
    <w:p w:rsidR="00FD6354" w:rsidRPr="007A5F5B" w:rsidRDefault="00FD6354" w:rsidP="004B67E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7A0AC3" w:rsidRPr="007A5F5B" w:rsidRDefault="007A0AC3" w:rsidP="00E95B8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9C7118" w:rsidRPr="007A5F5B" w:rsidRDefault="009C7118" w:rsidP="00E95B8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D21986" w:rsidRPr="007A5F5B" w:rsidRDefault="00D21986" w:rsidP="00E95B87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  <w:sectPr w:rsidR="00D21986" w:rsidRPr="007A5F5B" w:rsidSect="00114D5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1418" w:header="567" w:footer="567" w:gutter="0"/>
          <w:cols w:space="708"/>
          <w:titlePg/>
          <w:docGrid w:linePitch="360"/>
        </w:sectPr>
      </w:pPr>
    </w:p>
    <w:p w:rsidR="00DD0748" w:rsidRPr="007A5F5B" w:rsidRDefault="002B485E" w:rsidP="002B485E">
      <w:pPr>
        <w:pStyle w:val="1"/>
        <w:numPr>
          <w:ilvl w:val="0"/>
          <w:numId w:val="31"/>
        </w:numPr>
        <w:spacing w:after="240" w:line="240" w:lineRule="auto"/>
        <w:ind w:left="1276" w:hanging="567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1" w:name="_Toc114837519"/>
      <w:r w:rsidRPr="007A5F5B">
        <w:rPr>
          <w:rFonts w:ascii="Tahoma" w:hAnsi="Tahoma" w:cs="Tahoma"/>
          <w:b/>
          <w:bCs/>
          <w:color w:val="auto"/>
          <w:sz w:val="24"/>
          <w:szCs w:val="24"/>
        </w:rPr>
        <w:lastRenderedPageBreak/>
        <w:t>ЭКОЛОГИЧЕСКИЙ МЕНЕДЖМЕНТ</w:t>
      </w:r>
      <w:bookmarkEnd w:id="1"/>
    </w:p>
    <w:p w:rsidR="00853EBE" w:rsidRPr="007A5F5B" w:rsidRDefault="00890CEF" w:rsidP="000820B6">
      <w:pPr>
        <w:pStyle w:val="2"/>
        <w:numPr>
          <w:ilvl w:val="0"/>
          <w:numId w:val="33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2" w:name="_Toc114837520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Наличие в системе экологического менеджмента (СЭМ) (по стандарту ISO 14001/ГОСТ Р ИСО 14001 или другим) количественных показателей</w:t>
      </w:r>
      <w:r w:rsidR="00976BA4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 </w:t>
      </w:r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результативности</w:t>
      </w:r>
      <w:bookmarkEnd w:id="2"/>
    </w:p>
    <w:p w:rsidR="004D72A0" w:rsidRPr="007A5F5B" w:rsidRDefault="00317D33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В </w:t>
      </w:r>
      <w:r w:rsidR="009A2810">
        <w:rPr>
          <w:rFonts w:ascii="Tahoma" w:hAnsi="Tahoma" w:cs="Tahoma"/>
          <w:sz w:val="24"/>
          <w:szCs w:val="24"/>
        </w:rPr>
        <w:t>2020-</w:t>
      </w:r>
      <w:r w:rsidRPr="007A5F5B">
        <w:rPr>
          <w:rFonts w:ascii="Tahoma" w:hAnsi="Tahoma" w:cs="Tahoma"/>
          <w:sz w:val="24"/>
          <w:szCs w:val="24"/>
        </w:rPr>
        <w:t>2021</w:t>
      </w:r>
      <w:r w:rsidR="009A2810">
        <w:rPr>
          <w:rFonts w:ascii="Tahoma" w:hAnsi="Tahoma" w:cs="Tahoma"/>
          <w:sz w:val="24"/>
          <w:szCs w:val="24"/>
        </w:rPr>
        <w:t xml:space="preserve"> годах </w:t>
      </w:r>
      <w:r w:rsidR="003005EE">
        <w:rPr>
          <w:rFonts w:ascii="Tahoma" w:hAnsi="Tahoma" w:cs="Tahoma"/>
          <w:sz w:val="24"/>
          <w:szCs w:val="24"/>
        </w:rPr>
        <w:t>была проведена</w:t>
      </w:r>
      <w:r w:rsidR="000A7627">
        <w:rPr>
          <w:rFonts w:ascii="Tahoma" w:hAnsi="Tahoma" w:cs="Tahoma"/>
          <w:sz w:val="24"/>
          <w:szCs w:val="24"/>
        </w:rPr>
        <w:t xml:space="preserve"> работа</w:t>
      </w:r>
      <w:r w:rsidR="009A2810">
        <w:rPr>
          <w:rFonts w:ascii="Tahoma" w:hAnsi="Tahoma" w:cs="Tahoma"/>
          <w:sz w:val="24"/>
          <w:szCs w:val="24"/>
        </w:rPr>
        <w:t xml:space="preserve"> п</w:t>
      </w:r>
      <w:r w:rsidR="000A7627">
        <w:rPr>
          <w:rFonts w:ascii="Tahoma" w:hAnsi="Tahoma" w:cs="Tahoma"/>
          <w:sz w:val="24"/>
          <w:szCs w:val="24"/>
        </w:rPr>
        <w:t>о подготовке системы управления охраной окружающей среды</w:t>
      </w:r>
      <w:r w:rsidR="009A2810">
        <w:rPr>
          <w:rFonts w:ascii="Tahoma" w:hAnsi="Tahoma" w:cs="Tahoma"/>
          <w:sz w:val="24"/>
          <w:szCs w:val="24"/>
        </w:rPr>
        <w:t xml:space="preserve"> к планируемой сертификац</w:t>
      </w:r>
      <w:r w:rsidR="000A7627">
        <w:rPr>
          <w:rFonts w:ascii="Tahoma" w:hAnsi="Tahoma" w:cs="Tahoma"/>
          <w:sz w:val="24"/>
          <w:szCs w:val="24"/>
        </w:rPr>
        <w:t xml:space="preserve">ии на соответствие международному стандарту </w:t>
      </w:r>
      <w:r w:rsidR="000A7627">
        <w:rPr>
          <w:rFonts w:ascii="Tahoma" w:hAnsi="Tahoma" w:cs="Tahoma"/>
          <w:sz w:val="24"/>
          <w:szCs w:val="24"/>
          <w:lang w:val="en-US"/>
        </w:rPr>
        <w:t>ISO</w:t>
      </w:r>
      <w:r w:rsidR="000A7627" w:rsidRPr="000A7627">
        <w:rPr>
          <w:rFonts w:ascii="Tahoma" w:hAnsi="Tahoma" w:cs="Tahoma"/>
          <w:sz w:val="24"/>
          <w:szCs w:val="24"/>
        </w:rPr>
        <w:t xml:space="preserve"> 14001</w:t>
      </w:r>
      <w:r w:rsidR="009A2810">
        <w:rPr>
          <w:rFonts w:ascii="Tahoma" w:hAnsi="Tahoma" w:cs="Tahoma"/>
          <w:sz w:val="24"/>
          <w:szCs w:val="24"/>
        </w:rPr>
        <w:t>.</w:t>
      </w:r>
    </w:p>
    <w:p w:rsidR="00890CEF" w:rsidRPr="007A5F5B" w:rsidRDefault="009778F8" w:rsidP="000820B6">
      <w:pPr>
        <w:pStyle w:val="2"/>
        <w:numPr>
          <w:ilvl w:val="0"/>
          <w:numId w:val="33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3" w:name="_Toc114837521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Наличие</w:t>
      </w:r>
      <w:r w:rsidR="005265BB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 экологической политики</w:t>
      </w:r>
      <w:r w:rsidR="00890CEF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 компании (или иных утвержденных компанией документ</w:t>
      </w:r>
      <w:r w:rsidR="000820B6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ов</w:t>
      </w:r>
      <w:r w:rsidR="00890CEF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)</w:t>
      </w:r>
      <w:bookmarkEnd w:id="3"/>
    </w:p>
    <w:p w:rsidR="006C6514" w:rsidRPr="007A5F5B" w:rsidRDefault="006D1104" w:rsidP="00DD2956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компании утверждена политика в области управления охраной труда, промышленной безопасностью и охраной окружающей среды, а также компания присоединилась к внутренним документам АО «Зарубежнефть», регулирующим</w:t>
      </w:r>
      <w:r w:rsidR="006C6514" w:rsidRPr="007A5F5B">
        <w:rPr>
          <w:rFonts w:ascii="Tahoma" w:hAnsi="Tahoma" w:cs="Tahoma"/>
          <w:sz w:val="24"/>
          <w:szCs w:val="24"/>
        </w:rPr>
        <w:t xml:space="preserve"> подходы в управлении охраной труда, промышленной безопасностью и охраной окружающей среды:</w:t>
      </w:r>
    </w:p>
    <w:p w:rsidR="006C6514" w:rsidRPr="000A7627" w:rsidRDefault="006C6514" w:rsidP="006D1104">
      <w:pPr>
        <w:pStyle w:val="ad"/>
        <w:numPr>
          <w:ilvl w:val="0"/>
          <w:numId w:val="25"/>
        </w:numPr>
        <w:shd w:val="clear" w:color="auto" w:fill="FFFFFF" w:themeFill="background1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Стандарт по системе управления охраной труда, промышленной безопасностью и охраной окружающей среды (новая редакция утв. </w:t>
      </w:r>
      <w:r w:rsidR="00C262D3" w:rsidRPr="000A7627"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приказом </w:t>
      </w:r>
      <w:r w:rsidRPr="000A7627">
        <w:rPr>
          <w:rFonts w:ascii="Tahoma" w:hAnsi="Tahoma" w:cs="Tahoma"/>
          <w:sz w:val="24"/>
          <w:szCs w:val="24"/>
          <w:shd w:val="clear" w:color="auto" w:fill="FFFFFF" w:themeFill="background1"/>
        </w:rPr>
        <w:t>от 11.05.2021 №</w:t>
      </w:r>
      <w:r w:rsidR="00C262D3" w:rsidRPr="000A7627">
        <w:rPr>
          <w:rFonts w:ascii="Tahoma" w:hAnsi="Tahoma" w:cs="Tahoma"/>
          <w:sz w:val="24"/>
          <w:szCs w:val="24"/>
          <w:shd w:val="clear" w:color="auto" w:fill="FFFFFF" w:themeFill="background1"/>
        </w:rPr>
        <w:t> </w:t>
      </w:r>
      <w:r w:rsidRPr="000A7627">
        <w:rPr>
          <w:rFonts w:ascii="Tahoma" w:hAnsi="Tahoma" w:cs="Tahoma"/>
          <w:sz w:val="24"/>
          <w:szCs w:val="24"/>
          <w:shd w:val="clear" w:color="auto" w:fill="FFFFFF" w:themeFill="background1"/>
        </w:rPr>
        <w:t>98);</w:t>
      </w:r>
    </w:p>
    <w:p w:rsidR="006C6514" w:rsidRPr="007A5F5B" w:rsidRDefault="006C6514" w:rsidP="006D1104">
      <w:pPr>
        <w:pStyle w:val="ad"/>
        <w:numPr>
          <w:ilvl w:val="0"/>
          <w:numId w:val="25"/>
        </w:numPr>
        <w:shd w:val="clear" w:color="auto" w:fill="FFFFFF" w:themeFill="background1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Инструкция по использованию информационной системы мониторинга показателей по охране труда, промышленной безопасности и охране окружающей среды (новая редакция утв. </w:t>
      </w:r>
      <w:r w:rsidR="00C262D3" w:rsidRPr="007A5F5B">
        <w:rPr>
          <w:rFonts w:ascii="Tahoma" w:hAnsi="Tahoma" w:cs="Tahoma"/>
          <w:sz w:val="24"/>
          <w:szCs w:val="24"/>
        </w:rPr>
        <w:t xml:space="preserve">приказом </w:t>
      </w:r>
      <w:r w:rsidRPr="007A5F5B">
        <w:rPr>
          <w:rFonts w:ascii="Tahoma" w:hAnsi="Tahoma" w:cs="Tahoma"/>
          <w:sz w:val="24"/>
          <w:szCs w:val="24"/>
        </w:rPr>
        <w:t>от 19.06.2020 № 130);</w:t>
      </w:r>
    </w:p>
    <w:p w:rsidR="006C6514" w:rsidRPr="007A5F5B" w:rsidRDefault="006C6514" w:rsidP="006D1104">
      <w:pPr>
        <w:pStyle w:val="ad"/>
        <w:numPr>
          <w:ilvl w:val="0"/>
          <w:numId w:val="25"/>
        </w:numPr>
        <w:shd w:val="clear" w:color="auto" w:fill="FFFFFF" w:themeFill="background1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Регламент оперативного оповещения и расследования происшествий в области охраны труда, промышленной безопасности и охраны окружающей среды (новая редакция утв. </w:t>
      </w:r>
      <w:r w:rsidR="00C262D3" w:rsidRPr="007A5F5B">
        <w:rPr>
          <w:rFonts w:ascii="Tahoma" w:hAnsi="Tahoma" w:cs="Tahoma"/>
          <w:sz w:val="24"/>
          <w:szCs w:val="24"/>
        </w:rPr>
        <w:t xml:space="preserve">приказом </w:t>
      </w:r>
      <w:r w:rsidRPr="007A5F5B">
        <w:rPr>
          <w:rFonts w:ascii="Tahoma" w:hAnsi="Tahoma" w:cs="Tahoma"/>
          <w:sz w:val="24"/>
          <w:szCs w:val="24"/>
        </w:rPr>
        <w:t>от 30.12.2020 № 345);</w:t>
      </w:r>
    </w:p>
    <w:p w:rsidR="006C6514" w:rsidRDefault="006C6514" w:rsidP="006D1104">
      <w:pPr>
        <w:pStyle w:val="ad"/>
        <w:numPr>
          <w:ilvl w:val="0"/>
          <w:numId w:val="25"/>
        </w:numPr>
        <w:shd w:val="clear" w:color="auto" w:fill="FFFFFF" w:themeFill="background1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Инструкция по проведению внутреннего аудита системы управления охраной труда, промышленной безопасностью и охраной окружающей среды (новая редакция утв. </w:t>
      </w:r>
      <w:r w:rsidR="00C262D3" w:rsidRPr="007A5F5B">
        <w:rPr>
          <w:rFonts w:ascii="Tahoma" w:hAnsi="Tahoma" w:cs="Tahoma"/>
          <w:sz w:val="24"/>
          <w:szCs w:val="24"/>
        </w:rPr>
        <w:t xml:space="preserve">приказом </w:t>
      </w:r>
      <w:r w:rsidRPr="007A5F5B">
        <w:rPr>
          <w:rFonts w:ascii="Tahoma" w:hAnsi="Tahoma" w:cs="Tahoma"/>
          <w:sz w:val="24"/>
          <w:szCs w:val="24"/>
        </w:rPr>
        <w:t>от 30.12.2020 № 345).</w:t>
      </w:r>
    </w:p>
    <w:p w:rsidR="00E43ED9" w:rsidRPr="0099571A" w:rsidRDefault="005B169D" w:rsidP="00E43ED9">
      <w:pPr>
        <w:pStyle w:val="ad"/>
        <w:shd w:val="clear" w:color="auto" w:fill="FFFFFF" w:themeFill="background1"/>
        <w:tabs>
          <w:tab w:val="left" w:pos="993"/>
        </w:tabs>
        <w:spacing w:after="0" w:line="360" w:lineRule="auto"/>
        <w:ind w:left="709"/>
        <w:contextualSpacing w:val="0"/>
        <w:jc w:val="both"/>
        <w:rPr>
          <w:rFonts w:ascii="Tahoma" w:hAnsi="Tahoma" w:cs="Tahoma"/>
          <w:sz w:val="24"/>
          <w:szCs w:val="24"/>
        </w:rPr>
      </w:pPr>
      <w:hyperlink r:id="rId13" w:history="1">
        <w:r w:rsidR="0099571A" w:rsidRPr="00D1675D">
          <w:rPr>
            <w:rStyle w:val="a8"/>
            <w:rFonts w:ascii="Tahoma" w:hAnsi="Tahoma" w:cs="Tahoma"/>
            <w:sz w:val="24"/>
            <w:szCs w:val="24"/>
          </w:rPr>
          <w:t>https://www.nestro.ru/media/filer_public/61/1d/611d3501-56a5-4f9f-8836-969bfaad571a/_______.pdf</w:t>
        </w:r>
      </w:hyperlink>
      <w:r w:rsidR="0099571A" w:rsidRPr="0099571A">
        <w:rPr>
          <w:rFonts w:ascii="Tahoma" w:hAnsi="Tahoma" w:cs="Tahoma"/>
          <w:sz w:val="24"/>
          <w:szCs w:val="24"/>
        </w:rPr>
        <w:t xml:space="preserve"> </w:t>
      </w:r>
    </w:p>
    <w:p w:rsidR="00890CEF" w:rsidRPr="007A5F5B" w:rsidRDefault="00075565" w:rsidP="00062F10">
      <w:pPr>
        <w:pStyle w:val="3"/>
        <w:keepLines/>
        <w:numPr>
          <w:ilvl w:val="0"/>
          <w:numId w:val="32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4" w:name="_Toc114837522"/>
      <w:r w:rsidRPr="007A5F5B">
        <w:rPr>
          <w:rFonts w:ascii="Tahoma" w:hAnsi="Tahoma" w:cs="Tahoma"/>
          <w:sz w:val="24"/>
          <w:szCs w:val="24"/>
        </w:rPr>
        <w:t xml:space="preserve">Требования </w:t>
      </w:r>
      <w:r w:rsidR="00890CEF" w:rsidRPr="007A5F5B">
        <w:rPr>
          <w:rFonts w:ascii="Tahoma" w:hAnsi="Tahoma" w:cs="Tahoma"/>
          <w:sz w:val="24"/>
          <w:szCs w:val="24"/>
        </w:rPr>
        <w:t>по проведению дополнительной оценки рисков на экологически ценны</w:t>
      </w:r>
      <w:r w:rsidR="00390BE5" w:rsidRPr="007A5F5B">
        <w:rPr>
          <w:rFonts w:ascii="Tahoma" w:hAnsi="Tahoma" w:cs="Tahoma"/>
          <w:sz w:val="24"/>
          <w:szCs w:val="24"/>
        </w:rPr>
        <w:t>х</w:t>
      </w:r>
      <w:r w:rsidRPr="007A5F5B">
        <w:rPr>
          <w:rFonts w:ascii="Tahoma" w:hAnsi="Tahoma" w:cs="Tahoma"/>
          <w:sz w:val="24"/>
          <w:szCs w:val="24"/>
        </w:rPr>
        <w:t xml:space="preserve"> территориях</w:t>
      </w:r>
      <w:bookmarkEnd w:id="4"/>
    </w:p>
    <w:p w:rsidR="00C85E56" w:rsidRPr="007A5F5B" w:rsidRDefault="00A744BA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Компания присоединилась к утвержденному</w:t>
      </w:r>
      <w:r w:rsidR="00253914" w:rsidRPr="007A5F5B">
        <w:rPr>
          <w:rFonts w:ascii="Tahoma" w:hAnsi="Tahoma" w:cs="Tahoma"/>
          <w:sz w:val="24"/>
          <w:szCs w:val="24"/>
        </w:rPr>
        <w:t xml:space="preserve"> </w:t>
      </w:r>
      <w:r w:rsidR="003C4E54" w:rsidRPr="007A5F5B">
        <w:rPr>
          <w:rFonts w:ascii="Tahoma" w:hAnsi="Tahoma" w:cs="Tahoma"/>
          <w:sz w:val="24"/>
          <w:szCs w:val="24"/>
        </w:rPr>
        <w:t xml:space="preserve">приказом </w:t>
      </w:r>
      <w:r w:rsidRPr="007A5F5B">
        <w:rPr>
          <w:rFonts w:ascii="Tahoma" w:hAnsi="Tahoma" w:cs="Tahoma"/>
          <w:sz w:val="24"/>
          <w:szCs w:val="24"/>
        </w:rPr>
        <w:t xml:space="preserve">АО «Зарубежнефть» </w:t>
      </w:r>
      <w:r w:rsidR="003C4E54" w:rsidRPr="007A5F5B">
        <w:rPr>
          <w:rFonts w:ascii="Tahoma" w:hAnsi="Tahoma" w:cs="Tahoma"/>
          <w:sz w:val="24"/>
          <w:szCs w:val="24"/>
        </w:rPr>
        <w:t>от 29.08.2022</w:t>
      </w:r>
      <w:r w:rsidR="00253914" w:rsidRPr="007A5F5B">
        <w:rPr>
          <w:rFonts w:ascii="Tahoma" w:hAnsi="Tahoma" w:cs="Tahoma"/>
          <w:sz w:val="24"/>
          <w:szCs w:val="24"/>
        </w:rPr>
        <w:t xml:space="preserve"> № </w:t>
      </w:r>
      <w:r w:rsidR="003C4E54" w:rsidRPr="007A5F5B">
        <w:rPr>
          <w:rFonts w:ascii="Tahoma" w:hAnsi="Tahoma" w:cs="Tahoma"/>
          <w:sz w:val="24"/>
          <w:szCs w:val="24"/>
        </w:rPr>
        <w:t>б/н</w:t>
      </w:r>
      <w:r w:rsidR="00253914" w:rsidRPr="007A5F5B">
        <w:rPr>
          <w:rFonts w:ascii="Tahoma" w:hAnsi="Tahoma" w:cs="Tahoma"/>
          <w:sz w:val="24"/>
          <w:szCs w:val="24"/>
        </w:rPr>
        <w:t xml:space="preserve"> утвержден </w:t>
      </w:r>
      <w:r w:rsidR="008F3B59" w:rsidRPr="007A5F5B">
        <w:rPr>
          <w:rFonts w:ascii="Tahoma" w:hAnsi="Tahoma" w:cs="Tahoma"/>
          <w:sz w:val="24"/>
          <w:szCs w:val="24"/>
        </w:rPr>
        <w:t>Стандарт</w:t>
      </w:r>
      <w:r>
        <w:rPr>
          <w:rFonts w:ascii="Tahoma" w:hAnsi="Tahoma" w:cs="Tahoma"/>
          <w:sz w:val="24"/>
          <w:szCs w:val="24"/>
        </w:rPr>
        <w:t>у</w:t>
      </w:r>
      <w:r w:rsidR="003C4E54" w:rsidRPr="007A5F5B">
        <w:rPr>
          <w:rFonts w:ascii="Tahoma" w:hAnsi="Tahoma" w:cs="Tahoma"/>
          <w:sz w:val="24"/>
          <w:szCs w:val="24"/>
        </w:rPr>
        <w:t xml:space="preserve"> на бизнес-процесс «поиск и оценка новых </w:t>
      </w:r>
      <w:r w:rsidR="003C4E54" w:rsidRPr="007A5F5B">
        <w:rPr>
          <w:rFonts w:ascii="Tahoma" w:hAnsi="Tahoma" w:cs="Tahoma"/>
          <w:sz w:val="24"/>
          <w:szCs w:val="24"/>
        </w:rPr>
        <w:lastRenderedPageBreak/>
        <w:t>проектов» (БП Р-1 «поиск и оценка новых проектов»)</w:t>
      </w:r>
      <w:r w:rsidR="00253914" w:rsidRPr="007A5F5B">
        <w:rPr>
          <w:rFonts w:ascii="Tahoma" w:hAnsi="Tahoma" w:cs="Tahoma"/>
          <w:sz w:val="24"/>
          <w:szCs w:val="24"/>
        </w:rPr>
        <w:t xml:space="preserve">. Стандартом предусмотрено проведение технического аудита при оценке новых проектов, включающего аудит по направлению ОТ, ПБ и ООС, также проводится оценка рисков проекта. В случае, если оцениваемый проект может оказать воздействие на особо охраняемые природные территории, в таком случае </w:t>
      </w:r>
      <w:r w:rsidR="008D3D2C">
        <w:rPr>
          <w:rFonts w:ascii="Tahoma" w:hAnsi="Tahoma" w:cs="Tahoma"/>
          <w:sz w:val="24"/>
          <w:szCs w:val="24"/>
        </w:rPr>
        <w:t xml:space="preserve">компании ГК </w:t>
      </w:r>
      <w:r w:rsidR="00253914" w:rsidRPr="007A5F5B">
        <w:rPr>
          <w:rFonts w:ascii="Tahoma" w:hAnsi="Tahoma" w:cs="Tahoma"/>
          <w:sz w:val="24"/>
          <w:szCs w:val="24"/>
        </w:rPr>
        <w:t>АО</w:t>
      </w:r>
      <w:r w:rsidR="00075565" w:rsidRPr="007A5F5B">
        <w:rPr>
          <w:rFonts w:ascii="Tahoma" w:hAnsi="Tahoma" w:cs="Tahoma"/>
          <w:sz w:val="24"/>
          <w:szCs w:val="24"/>
        </w:rPr>
        <w:t> </w:t>
      </w:r>
      <w:r w:rsidR="00253914" w:rsidRPr="007A5F5B">
        <w:rPr>
          <w:rFonts w:ascii="Tahoma" w:hAnsi="Tahoma" w:cs="Tahoma"/>
          <w:sz w:val="24"/>
          <w:szCs w:val="24"/>
        </w:rPr>
        <w:t>«Зарубежнефть» отказывается от реализации и участия в данных проектах.</w:t>
      </w:r>
    </w:p>
    <w:p w:rsidR="00890CEF" w:rsidRPr="007A5F5B" w:rsidRDefault="004C6F1F" w:rsidP="00062F10">
      <w:pPr>
        <w:pStyle w:val="3"/>
        <w:keepLines/>
        <w:numPr>
          <w:ilvl w:val="0"/>
          <w:numId w:val="32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5" w:name="_Toc114837523"/>
      <w:r w:rsidRPr="007A5F5B">
        <w:rPr>
          <w:rFonts w:ascii="Tahoma" w:hAnsi="Tahoma" w:cs="Tahoma"/>
          <w:sz w:val="24"/>
          <w:szCs w:val="24"/>
        </w:rPr>
        <w:t xml:space="preserve">Обязательства </w:t>
      </w:r>
      <w:r w:rsidR="00890CEF" w:rsidRPr="007A5F5B">
        <w:rPr>
          <w:rFonts w:ascii="Tahoma" w:hAnsi="Tahoma" w:cs="Tahoma"/>
          <w:sz w:val="24"/>
          <w:szCs w:val="24"/>
        </w:rPr>
        <w:t>по снижению фрагментации ландшафтов и площади нарушенных территори</w:t>
      </w:r>
      <w:r w:rsidR="00075565" w:rsidRPr="007A5F5B">
        <w:rPr>
          <w:rFonts w:ascii="Tahoma" w:hAnsi="Tahoma" w:cs="Tahoma"/>
          <w:sz w:val="24"/>
          <w:szCs w:val="24"/>
        </w:rPr>
        <w:t>й при освоении новых территорий</w:t>
      </w:r>
      <w:bookmarkEnd w:id="5"/>
    </w:p>
    <w:p w:rsidR="00C1291E" w:rsidRPr="007A5F5B" w:rsidRDefault="00C1291E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До начала реализации любого нового крупного проекта, ГК АО «Зарубежнефть» проводит оценку воздействия на окружающую среду, то есть планирует управление влиянием предстоящей проектной деятельностью </w:t>
      </w:r>
      <w:r w:rsidR="00D77EB0" w:rsidRPr="007A5F5B">
        <w:rPr>
          <w:rFonts w:ascii="Tahoma" w:eastAsia="Times New Roman" w:hAnsi="Tahoma" w:cs="Tahoma"/>
          <w:bCs/>
          <w:sz w:val="24"/>
          <w:szCs w:val="24"/>
          <w:lang w:eastAsia="ru-RU"/>
        </w:rPr>
        <w:t>посредством внедрения наилучших</w:t>
      </w:r>
      <w:r w:rsidRPr="007A5F5B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доступных технологий и реализацией мер по минимизации</w:t>
      </w:r>
      <w:r w:rsidRPr="007A5F5B">
        <w:rPr>
          <w:rFonts w:ascii="Tahoma" w:hAnsi="Tahoma" w:cs="Tahoma"/>
          <w:sz w:val="24"/>
          <w:szCs w:val="24"/>
        </w:rPr>
        <w:t xml:space="preserve"> </w:t>
      </w:r>
      <w:r w:rsidR="00D77EB0" w:rsidRPr="007A5F5B">
        <w:rPr>
          <w:rFonts w:ascii="Tahoma" w:eastAsia="Times New Roman" w:hAnsi="Tahoma" w:cs="Tahoma"/>
          <w:bCs/>
          <w:sz w:val="24"/>
          <w:szCs w:val="24"/>
          <w:lang w:eastAsia="ru-RU"/>
        </w:rPr>
        <w:t>негативного влияния</w:t>
      </w:r>
      <w:r w:rsidRPr="007A5F5B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от производствен</w:t>
      </w:r>
      <w:r w:rsidR="008D3D2C">
        <w:rPr>
          <w:rFonts w:ascii="Tahoma" w:eastAsia="Times New Roman" w:hAnsi="Tahoma" w:cs="Tahoma"/>
          <w:bCs/>
          <w:sz w:val="24"/>
          <w:szCs w:val="24"/>
          <w:lang w:eastAsia="ru-RU"/>
        </w:rPr>
        <w:t>ной деятельности ГК</w:t>
      </w:r>
      <w:r w:rsidRPr="007A5F5B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АО «Зарубежнефть».</w:t>
      </w:r>
    </w:p>
    <w:p w:rsidR="00DE71C8" w:rsidRPr="007A5F5B" w:rsidRDefault="00A744BA" w:rsidP="00A744BA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A744BA">
        <w:rPr>
          <w:rFonts w:ascii="Tahoma" w:hAnsi="Tahoma" w:cs="Tahoma"/>
          <w:sz w:val="24"/>
          <w:szCs w:val="24"/>
        </w:rPr>
        <w:t>Экологическое обследование участков</w:t>
      </w:r>
      <w:r>
        <w:rPr>
          <w:rFonts w:ascii="Tahoma" w:hAnsi="Tahoma" w:cs="Tahoma"/>
          <w:sz w:val="24"/>
          <w:szCs w:val="24"/>
        </w:rPr>
        <w:t xml:space="preserve"> СП ОО</w:t>
      </w:r>
      <w:r w:rsidR="00DC2AFB">
        <w:rPr>
          <w:rFonts w:ascii="Tahoma" w:hAnsi="Tahoma" w:cs="Tahoma"/>
          <w:sz w:val="24"/>
          <w:szCs w:val="24"/>
        </w:rPr>
        <w:t>О «Андижанпетро</w:t>
      </w:r>
      <w:r w:rsidRPr="00A744BA">
        <w:rPr>
          <w:rFonts w:ascii="Tahoma" w:hAnsi="Tahoma" w:cs="Tahoma"/>
          <w:sz w:val="24"/>
          <w:szCs w:val="24"/>
        </w:rPr>
        <w:t>»: Южный Аламышик, Хартум и</w:t>
      </w:r>
      <w:r>
        <w:rPr>
          <w:rFonts w:ascii="Tahoma" w:hAnsi="Tahoma" w:cs="Tahoma"/>
          <w:sz w:val="24"/>
          <w:szCs w:val="24"/>
        </w:rPr>
        <w:t xml:space="preserve"> </w:t>
      </w:r>
      <w:r w:rsidRPr="00A744BA">
        <w:rPr>
          <w:rFonts w:ascii="Tahoma" w:hAnsi="Tahoma" w:cs="Tahoma"/>
          <w:sz w:val="24"/>
          <w:szCs w:val="24"/>
        </w:rPr>
        <w:t xml:space="preserve">Восточный Хартум </w:t>
      </w:r>
      <w:r w:rsidR="00DE71C8" w:rsidRPr="007A5F5B">
        <w:rPr>
          <w:rFonts w:ascii="Tahoma" w:hAnsi="Tahoma" w:cs="Tahoma"/>
          <w:sz w:val="24"/>
          <w:szCs w:val="24"/>
        </w:rPr>
        <w:t>предста</w:t>
      </w:r>
      <w:r w:rsidR="002B421B" w:rsidRPr="007A5F5B">
        <w:rPr>
          <w:rFonts w:ascii="Tahoma" w:hAnsi="Tahoma" w:cs="Tahoma"/>
          <w:sz w:val="24"/>
          <w:szCs w:val="24"/>
        </w:rPr>
        <w:t>влена на корпоративном портале</w:t>
      </w:r>
      <w:r w:rsidR="0051354E" w:rsidRPr="007A5F5B">
        <w:rPr>
          <w:rFonts w:ascii="Tahoma" w:hAnsi="Tahoma" w:cs="Tahoma"/>
          <w:sz w:val="24"/>
          <w:szCs w:val="24"/>
        </w:rPr>
        <w:t>:</w:t>
      </w:r>
    </w:p>
    <w:p w:rsidR="00202CED" w:rsidRPr="00A744BA" w:rsidRDefault="005B169D" w:rsidP="009D3A9F">
      <w:pPr>
        <w:spacing w:before="120" w:after="12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hyperlink r:id="rId14" w:history="1">
        <w:r w:rsidR="008D3D2C" w:rsidRPr="00D1675D">
          <w:rPr>
            <w:rStyle w:val="a8"/>
            <w:rFonts w:ascii="Tahoma" w:hAnsi="Tahoma" w:cs="Tahoma"/>
            <w:sz w:val="24"/>
            <w:szCs w:val="24"/>
          </w:rPr>
          <w:t>https://www.nestro.ru/media/filer_public/e7/0e/e70e019d-e41a-4a7c-9467-72eb0d654e63/___30_05_2019__.pdf</w:t>
        </w:r>
      </w:hyperlink>
      <w:r w:rsidR="008D3D2C">
        <w:rPr>
          <w:rFonts w:ascii="Tahoma" w:hAnsi="Tahoma" w:cs="Tahoma"/>
          <w:sz w:val="24"/>
          <w:szCs w:val="24"/>
        </w:rPr>
        <w:t xml:space="preserve"> </w:t>
      </w:r>
    </w:p>
    <w:p w:rsidR="00890CEF" w:rsidRDefault="00075565" w:rsidP="00062F10">
      <w:pPr>
        <w:pStyle w:val="3"/>
        <w:keepLines/>
        <w:numPr>
          <w:ilvl w:val="0"/>
          <w:numId w:val="32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6" w:name="_Toc114837524"/>
      <w:r w:rsidRPr="007A5F5B">
        <w:rPr>
          <w:rFonts w:ascii="Tahoma" w:hAnsi="Tahoma" w:cs="Tahoma"/>
          <w:sz w:val="24"/>
          <w:szCs w:val="24"/>
        </w:rPr>
        <w:t>Обязательств</w:t>
      </w:r>
      <w:r w:rsidR="004C6F1F" w:rsidRPr="007A5F5B">
        <w:rPr>
          <w:rFonts w:ascii="Tahoma" w:hAnsi="Tahoma" w:cs="Tahoma"/>
          <w:sz w:val="24"/>
          <w:szCs w:val="24"/>
        </w:rPr>
        <w:t>а</w:t>
      </w:r>
      <w:r w:rsidRPr="007A5F5B">
        <w:rPr>
          <w:rFonts w:ascii="Tahoma" w:hAnsi="Tahoma" w:cs="Tahoma"/>
          <w:sz w:val="24"/>
          <w:szCs w:val="24"/>
        </w:rPr>
        <w:t xml:space="preserve"> </w:t>
      </w:r>
      <w:r w:rsidR="00890CEF" w:rsidRPr="007A5F5B">
        <w:rPr>
          <w:rFonts w:ascii="Tahoma" w:hAnsi="Tahoma" w:cs="Tahoma"/>
          <w:sz w:val="24"/>
          <w:szCs w:val="24"/>
        </w:rPr>
        <w:t>по сох</w:t>
      </w:r>
      <w:r w:rsidRPr="007A5F5B">
        <w:rPr>
          <w:rFonts w:ascii="Tahoma" w:hAnsi="Tahoma" w:cs="Tahoma"/>
          <w:sz w:val="24"/>
          <w:szCs w:val="24"/>
        </w:rPr>
        <w:t>ранению путей миграции животных</w:t>
      </w:r>
      <w:bookmarkEnd w:id="6"/>
    </w:p>
    <w:p w:rsidR="00116D58" w:rsidRPr="00116D58" w:rsidRDefault="00116D58" w:rsidP="00116D58">
      <w:pPr>
        <w:rPr>
          <w:rFonts w:ascii="Tahoma" w:hAnsi="Tahoma" w:cs="Tahoma"/>
        </w:rPr>
      </w:pPr>
      <w:r w:rsidRPr="00116D58">
        <w:rPr>
          <w:rFonts w:ascii="Tahoma" w:hAnsi="Tahoma" w:cs="Tahoma"/>
        </w:rPr>
        <w:t>Нет.</w:t>
      </w:r>
    </w:p>
    <w:p w:rsidR="00890CEF" w:rsidRPr="007A5F5B" w:rsidRDefault="00075565" w:rsidP="00062F10">
      <w:pPr>
        <w:pStyle w:val="3"/>
        <w:keepLines/>
        <w:numPr>
          <w:ilvl w:val="0"/>
          <w:numId w:val="32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7" w:name="_Toc114837525"/>
      <w:r w:rsidRPr="007A5F5B">
        <w:rPr>
          <w:rFonts w:ascii="Tahoma" w:hAnsi="Tahoma" w:cs="Tahoma"/>
          <w:sz w:val="24"/>
          <w:szCs w:val="24"/>
        </w:rPr>
        <w:t xml:space="preserve">Требования </w:t>
      </w:r>
      <w:r w:rsidR="00890CEF" w:rsidRPr="007A5F5B">
        <w:rPr>
          <w:rFonts w:ascii="Tahoma" w:hAnsi="Tahoma" w:cs="Tahoma"/>
          <w:sz w:val="24"/>
          <w:szCs w:val="24"/>
        </w:rPr>
        <w:t>по оценке кумулятивных эффектов от совокупного воздействия компаний в случае реализации кр</w:t>
      </w:r>
      <w:r w:rsidRPr="007A5F5B">
        <w:rPr>
          <w:rFonts w:ascii="Tahoma" w:hAnsi="Tahoma" w:cs="Tahoma"/>
          <w:sz w:val="24"/>
          <w:szCs w:val="24"/>
        </w:rPr>
        <w:t>упных инфраструктурных проектов</w:t>
      </w:r>
      <w:bookmarkEnd w:id="7"/>
    </w:p>
    <w:p w:rsidR="00801C43" w:rsidRPr="007A5F5B" w:rsidRDefault="00DC2AFB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Компания выполняет требования </w:t>
      </w:r>
      <w:r w:rsidR="008F3B59" w:rsidRPr="007A5F5B">
        <w:rPr>
          <w:rFonts w:ascii="Tahoma" w:hAnsi="Tahoma" w:cs="Tahoma"/>
          <w:sz w:val="24"/>
          <w:szCs w:val="24"/>
        </w:rPr>
        <w:t>Стандарт</w:t>
      </w:r>
      <w:r>
        <w:rPr>
          <w:rFonts w:ascii="Tahoma" w:hAnsi="Tahoma" w:cs="Tahoma"/>
          <w:sz w:val="24"/>
          <w:szCs w:val="24"/>
        </w:rPr>
        <w:t>а</w:t>
      </w:r>
      <w:r w:rsidR="008F3B59" w:rsidRPr="007A5F5B">
        <w:rPr>
          <w:rFonts w:ascii="Tahoma" w:hAnsi="Tahoma" w:cs="Tahoma"/>
          <w:sz w:val="24"/>
          <w:szCs w:val="24"/>
        </w:rPr>
        <w:t xml:space="preserve"> на бизнес-процесс «поиск и оценка новых проектов» (БП Р-1 «поиск и оценка новых проекто</w:t>
      </w:r>
      <w:r>
        <w:rPr>
          <w:rFonts w:ascii="Tahoma" w:hAnsi="Tahoma" w:cs="Tahoma"/>
          <w:sz w:val="24"/>
          <w:szCs w:val="24"/>
        </w:rPr>
        <w:t>в») от 29.08.2022 № б/н</w:t>
      </w:r>
      <w:r w:rsidR="00801C43" w:rsidRPr="007A5F5B">
        <w:rPr>
          <w:rFonts w:ascii="Tahoma" w:hAnsi="Tahoma" w:cs="Tahoma"/>
          <w:sz w:val="24"/>
          <w:szCs w:val="24"/>
        </w:rPr>
        <w:t>.</w:t>
      </w:r>
    </w:p>
    <w:p w:rsidR="00E75091" w:rsidRPr="007A5F5B" w:rsidRDefault="00E75091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890CEF" w:rsidRPr="007A5F5B" w:rsidRDefault="00075565" w:rsidP="00062F10">
      <w:pPr>
        <w:pStyle w:val="3"/>
        <w:keepLines/>
        <w:numPr>
          <w:ilvl w:val="0"/>
          <w:numId w:val="32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8" w:name="_Toc114837526"/>
      <w:r w:rsidRPr="007A5F5B">
        <w:rPr>
          <w:rFonts w:ascii="Tahoma" w:hAnsi="Tahoma" w:cs="Tahoma"/>
          <w:sz w:val="24"/>
          <w:szCs w:val="24"/>
        </w:rPr>
        <w:t>Запре</w:t>
      </w:r>
      <w:r w:rsidR="00890CEF" w:rsidRPr="007A5F5B">
        <w:rPr>
          <w:rFonts w:ascii="Tahoma" w:hAnsi="Tahoma" w:cs="Tahoma"/>
          <w:sz w:val="24"/>
          <w:szCs w:val="24"/>
        </w:rPr>
        <w:t>т для работников, в том числе подрядных организаций, вести охоту и рыбную ловлю в зо</w:t>
      </w:r>
      <w:r w:rsidRPr="007A5F5B">
        <w:rPr>
          <w:rFonts w:ascii="Tahoma" w:hAnsi="Tahoma" w:cs="Tahoma"/>
          <w:sz w:val="24"/>
          <w:szCs w:val="24"/>
        </w:rPr>
        <w:t>не реализации проектов компании</w:t>
      </w:r>
      <w:bookmarkEnd w:id="8"/>
    </w:p>
    <w:p w:rsidR="00890CEF" w:rsidRPr="007A5F5B" w:rsidRDefault="00DC2AFB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Производс</w:t>
      </w:r>
      <w:r w:rsidR="00A52B8F">
        <w:rPr>
          <w:rFonts w:ascii="Tahoma" w:hAnsi="Tahoma" w:cs="Tahoma"/>
          <w:sz w:val="24"/>
          <w:szCs w:val="24"/>
        </w:rPr>
        <w:t>твенные участки компании</w:t>
      </w:r>
      <w:r w:rsidR="00A52B8F" w:rsidRPr="00A52B8F">
        <w:rPr>
          <w:rFonts w:ascii="Tahoma" w:hAnsi="Tahoma" w:cs="Tahoma"/>
          <w:sz w:val="24"/>
          <w:szCs w:val="24"/>
        </w:rPr>
        <w:t xml:space="preserve"> в основном относятся к пустынному типу. На невысокой адырной гряде распространена эфемеровая пустыня.</w:t>
      </w:r>
    </w:p>
    <w:p w:rsidR="00202CED" w:rsidRPr="007A5F5B" w:rsidRDefault="00202CED" w:rsidP="009D3A9F">
      <w:pPr>
        <w:spacing w:before="120" w:after="120" w:line="24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:rsidR="00890CEF" w:rsidRPr="007A5F5B" w:rsidRDefault="00075565" w:rsidP="00062F10">
      <w:pPr>
        <w:pStyle w:val="3"/>
        <w:keepLines/>
        <w:numPr>
          <w:ilvl w:val="0"/>
          <w:numId w:val="32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9" w:name="_Toc114837527"/>
      <w:r w:rsidRPr="007A5F5B">
        <w:rPr>
          <w:rFonts w:ascii="Tahoma" w:hAnsi="Tahoma" w:cs="Tahoma"/>
          <w:sz w:val="24"/>
          <w:szCs w:val="24"/>
        </w:rPr>
        <w:lastRenderedPageBreak/>
        <w:t xml:space="preserve">Требования </w:t>
      </w:r>
      <w:r w:rsidR="00890CEF" w:rsidRPr="007A5F5B">
        <w:rPr>
          <w:rFonts w:ascii="Tahoma" w:hAnsi="Tahoma" w:cs="Tahoma"/>
          <w:sz w:val="24"/>
          <w:szCs w:val="24"/>
        </w:rPr>
        <w:t>по проведению комплексной</w:t>
      </w:r>
      <w:r w:rsidR="00BD19E3" w:rsidRPr="007A5F5B">
        <w:rPr>
          <w:rFonts w:ascii="Tahoma" w:hAnsi="Tahoma" w:cs="Tahoma"/>
          <w:sz w:val="24"/>
          <w:szCs w:val="24"/>
        </w:rPr>
        <w:t xml:space="preserve"> (целостной)</w:t>
      </w:r>
      <w:r w:rsidR="00890CEF" w:rsidRPr="007A5F5B">
        <w:rPr>
          <w:rFonts w:ascii="Tahoma" w:hAnsi="Tahoma" w:cs="Tahoma"/>
          <w:sz w:val="24"/>
          <w:szCs w:val="24"/>
        </w:rPr>
        <w:t xml:space="preserve"> оценки воздействия на окружающую среду (ОВОС) проекта от стадии строительства до стадии ликвидации в границах реализации проект</w:t>
      </w:r>
      <w:r w:rsidRPr="007A5F5B">
        <w:rPr>
          <w:rFonts w:ascii="Tahoma" w:hAnsi="Tahoma" w:cs="Tahoma"/>
          <w:sz w:val="24"/>
          <w:szCs w:val="24"/>
        </w:rPr>
        <w:t>а и его аффилированных проектов</w:t>
      </w:r>
      <w:bookmarkEnd w:id="9"/>
    </w:p>
    <w:p w:rsidR="00890CEF" w:rsidRPr="007A5F5B" w:rsidRDefault="00DE71C8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Стандарт на бизнес-процесс «Поиск и оценка новых проектов» </w:t>
      </w:r>
      <w:r w:rsidR="00075565" w:rsidRPr="007A5F5B">
        <w:rPr>
          <w:rFonts w:ascii="Tahoma" w:hAnsi="Tahoma" w:cs="Tahoma"/>
          <w:sz w:val="24"/>
          <w:szCs w:val="24"/>
        </w:rPr>
        <w:t>приказ</w:t>
      </w:r>
      <w:r w:rsidRPr="007A5F5B">
        <w:rPr>
          <w:rFonts w:ascii="Tahoma" w:hAnsi="Tahoma" w:cs="Tahoma"/>
          <w:sz w:val="24"/>
          <w:szCs w:val="24"/>
        </w:rPr>
        <w:t xml:space="preserve"> от </w:t>
      </w:r>
      <w:r w:rsidR="00801C43" w:rsidRPr="007A5F5B">
        <w:rPr>
          <w:rFonts w:ascii="Tahoma" w:hAnsi="Tahoma" w:cs="Tahoma"/>
          <w:sz w:val="24"/>
          <w:szCs w:val="24"/>
        </w:rPr>
        <w:t>28.08.2018 №</w:t>
      </w:r>
      <w:r w:rsidR="00075565" w:rsidRPr="007A5F5B">
        <w:rPr>
          <w:rFonts w:ascii="Tahoma" w:hAnsi="Tahoma" w:cs="Tahoma"/>
          <w:sz w:val="24"/>
          <w:szCs w:val="24"/>
        </w:rPr>
        <w:t> </w:t>
      </w:r>
      <w:r w:rsidR="00801C43" w:rsidRPr="007A5F5B">
        <w:rPr>
          <w:rFonts w:ascii="Tahoma" w:hAnsi="Tahoma" w:cs="Tahoma"/>
          <w:sz w:val="24"/>
          <w:szCs w:val="24"/>
        </w:rPr>
        <w:t>260</w:t>
      </w:r>
      <w:r w:rsidRPr="007A5F5B">
        <w:rPr>
          <w:rFonts w:ascii="Tahoma" w:hAnsi="Tahoma" w:cs="Tahoma"/>
          <w:sz w:val="24"/>
          <w:szCs w:val="24"/>
        </w:rPr>
        <w:t>.</w:t>
      </w:r>
    </w:p>
    <w:p w:rsidR="00E75091" w:rsidRPr="007A5F5B" w:rsidRDefault="00E75091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Также, в 2020 году </w:t>
      </w:r>
      <w:r w:rsidR="00075565" w:rsidRPr="007A5F5B">
        <w:rPr>
          <w:rFonts w:ascii="Tahoma" w:hAnsi="Tahoma" w:cs="Tahoma"/>
          <w:sz w:val="24"/>
          <w:szCs w:val="24"/>
        </w:rPr>
        <w:t>приказом</w:t>
      </w:r>
      <w:r w:rsidRPr="007A5F5B">
        <w:rPr>
          <w:rFonts w:ascii="Tahoma" w:hAnsi="Tahoma" w:cs="Tahoma"/>
          <w:sz w:val="24"/>
          <w:szCs w:val="24"/>
        </w:rPr>
        <w:t xml:space="preserve"> от 30.06.2020 № 141 утверждены Методические указания по проведению комплексной проверки (Due Diligence) новых проектов в секторе «Геологоразведка и добыча» (Upstream) в соответствии с бизнес-процессом «Поиск и оценка новых проектов».</w:t>
      </w:r>
    </w:p>
    <w:p w:rsidR="00890CEF" w:rsidRPr="007A5F5B" w:rsidRDefault="00075565" w:rsidP="00062F10">
      <w:pPr>
        <w:pStyle w:val="3"/>
        <w:keepLines/>
        <w:numPr>
          <w:ilvl w:val="0"/>
          <w:numId w:val="32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10" w:name="_Toc114837528"/>
      <w:r w:rsidRPr="007A5F5B">
        <w:rPr>
          <w:rFonts w:ascii="Tahoma" w:hAnsi="Tahoma" w:cs="Tahoma"/>
          <w:sz w:val="24"/>
          <w:szCs w:val="24"/>
        </w:rPr>
        <w:t>Стремлени</w:t>
      </w:r>
      <w:r w:rsidR="00682BF3" w:rsidRPr="007A5F5B">
        <w:rPr>
          <w:rFonts w:ascii="Tahoma" w:hAnsi="Tahoma" w:cs="Tahoma"/>
          <w:sz w:val="24"/>
          <w:szCs w:val="24"/>
        </w:rPr>
        <w:t>е</w:t>
      </w:r>
      <w:r w:rsidRPr="007A5F5B">
        <w:rPr>
          <w:rFonts w:ascii="Tahoma" w:hAnsi="Tahoma" w:cs="Tahoma"/>
          <w:sz w:val="24"/>
          <w:szCs w:val="24"/>
        </w:rPr>
        <w:t xml:space="preserve"> </w:t>
      </w:r>
      <w:r w:rsidR="00890CEF" w:rsidRPr="007A5F5B">
        <w:rPr>
          <w:rFonts w:ascii="Tahoma" w:hAnsi="Tahoma" w:cs="Tahoma"/>
          <w:sz w:val="24"/>
          <w:szCs w:val="24"/>
        </w:rPr>
        <w:t>избегать проведения работ на особо охраняемых природных территориях (ООПТ), их охранных зонах, объектах Всемирного природного наследия (ВПН), водно-болотных угодьях международног</w:t>
      </w:r>
      <w:r w:rsidRPr="007A5F5B">
        <w:rPr>
          <w:rFonts w:ascii="Tahoma" w:hAnsi="Tahoma" w:cs="Tahoma"/>
          <w:sz w:val="24"/>
          <w:szCs w:val="24"/>
        </w:rPr>
        <w:t>о значения (Рамсарских угодьях)</w:t>
      </w:r>
      <w:bookmarkEnd w:id="10"/>
    </w:p>
    <w:p w:rsidR="00890CEF" w:rsidRPr="007A5F5B" w:rsidRDefault="00DE71C8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Стандарт на бизнес-процесс «Поиск и оценка новых проектов» </w:t>
      </w:r>
      <w:r w:rsidR="00075565" w:rsidRPr="007A5F5B">
        <w:rPr>
          <w:rFonts w:ascii="Tahoma" w:hAnsi="Tahoma" w:cs="Tahoma"/>
          <w:sz w:val="24"/>
          <w:szCs w:val="24"/>
        </w:rPr>
        <w:t>приказ</w:t>
      </w:r>
      <w:r w:rsidRPr="007A5F5B">
        <w:rPr>
          <w:rFonts w:ascii="Tahoma" w:hAnsi="Tahoma" w:cs="Tahoma"/>
          <w:sz w:val="24"/>
          <w:szCs w:val="24"/>
        </w:rPr>
        <w:t xml:space="preserve"> от </w:t>
      </w:r>
      <w:r w:rsidR="00801C43" w:rsidRPr="007A5F5B">
        <w:rPr>
          <w:rFonts w:ascii="Tahoma" w:hAnsi="Tahoma" w:cs="Tahoma"/>
          <w:sz w:val="24"/>
          <w:szCs w:val="24"/>
        </w:rPr>
        <w:t>28.08.2018 №</w:t>
      </w:r>
      <w:r w:rsidR="00B65AFC" w:rsidRPr="007A5F5B">
        <w:rPr>
          <w:rFonts w:ascii="Tahoma" w:hAnsi="Tahoma" w:cs="Tahoma"/>
          <w:sz w:val="24"/>
          <w:szCs w:val="24"/>
        </w:rPr>
        <w:t> </w:t>
      </w:r>
      <w:r w:rsidR="00801C43" w:rsidRPr="007A5F5B">
        <w:rPr>
          <w:rFonts w:ascii="Tahoma" w:hAnsi="Tahoma" w:cs="Tahoma"/>
          <w:sz w:val="24"/>
          <w:szCs w:val="24"/>
        </w:rPr>
        <w:t>260</w:t>
      </w:r>
      <w:r w:rsidRPr="007A5F5B">
        <w:rPr>
          <w:rFonts w:ascii="Tahoma" w:hAnsi="Tahoma" w:cs="Tahoma"/>
          <w:sz w:val="24"/>
          <w:szCs w:val="24"/>
        </w:rPr>
        <w:t>.</w:t>
      </w:r>
    </w:p>
    <w:p w:rsidR="00890CEF" w:rsidRPr="007A5F5B" w:rsidRDefault="00075565" w:rsidP="00062F10">
      <w:pPr>
        <w:pStyle w:val="3"/>
        <w:keepLines/>
        <w:numPr>
          <w:ilvl w:val="0"/>
          <w:numId w:val="32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11" w:name="_Toc114837529"/>
      <w:r w:rsidRPr="007A5F5B">
        <w:rPr>
          <w:rFonts w:ascii="Tahoma" w:hAnsi="Tahoma" w:cs="Tahoma"/>
          <w:sz w:val="24"/>
          <w:szCs w:val="24"/>
        </w:rPr>
        <w:t>Обязательств</w:t>
      </w:r>
      <w:r w:rsidR="004C6F1F" w:rsidRPr="007A5F5B">
        <w:rPr>
          <w:rFonts w:ascii="Tahoma" w:hAnsi="Tahoma" w:cs="Tahoma"/>
          <w:sz w:val="24"/>
          <w:szCs w:val="24"/>
        </w:rPr>
        <w:t>а</w:t>
      </w:r>
      <w:r w:rsidRPr="007A5F5B">
        <w:rPr>
          <w:rFonts w:ascii="Tahoma" w:hAnsi="Tahoma" w:cs="Tahoma"/>
          <w:sz w:val="24"/>
          <w:szCs w:val="24"/>
        </w:rPr>
        <w:t xml:space="preserve"> </w:t>
      </w:r>
      <w:r w:rsidR="00890CEF" w:rsidRPr="007A5F5B">
        <w:rPr>
          <w:rFonts w:ascii="Tahoma" w:hAnsi="Tahoma" w:cs="Tahoma"/>
          <w:sz w:val="24"/>
          <w:szCs w:val="24"/>
        </w:rPr>
        <w:t>в об</w:t>
      </w:r>
      <w:r w:rsidRPr="007A5F5B">
        <w:rPr>
          <w:rFonts w:ascii="Tahoma" w:hAnsi="Tahoma" w:cs="Tahoma"/>
          <w:sz w:val="24"/>
          <w:szCs w:val="24"/>
        </w:rPr>
        <w:t>ласти целостности трубопроводов</w:t>
      </w:r>
      <w:bookmarkEnd w:id="11"/>
    </w:p>
    <w:p w:rsidR="00890CEF" w:rsidRPr="007A5F5B" w:rsidRDefault="00913C25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В</w:t>
      </w:r>
      <w:r w:rsidR="00A52B8F">
        <w:rPr>
          <w:rFonts w:ascii="Tahoma" w:hAnsi="Tahoma" w:cs="Tahoma"/>
          <w:sz w:val="24"/>
          <w:szCs w:val="24"/>
        </w:rPr>
        <w:t xml:space="preserve">о всех </w:t>
      </w:r>
      <w:r w:rsidRPr="007A5F5B">
        <w:rPr>
          <w:rFonts w:ascii="Tahoma" w:hAnsi="Tahoma" w:cs="Tahoma"/>
          <w:sz w:val="24"/>
          <w:szCs w:val="24"/>
        </w:rPr>
        <w:t xml:space="preserve">Дочерних обществах ГК АО «Зарубежнефть» ежемесячно составляются графики объезда межпромысловых нефтепроводов, что является одним из приоритетов </w:t>
      </w:r>
      <w:r w:rsidR="004D72A0" w:rsidRPr="007A5F5B">
        <w:rPr>
          <w:rFonts w:ascii="Tahoma" w:hAnsi="Tahoma" w:cs="Tahoma"/>
          <w:sz w:val="24"/>
          <w:szCs w:val="24"/>
        </w:rPr>
        <w:t>Экологической политики компании.</w:t>
      </w:r>
    </w:p>
    <w:p w:rsidR="00890CEF" w:rsidRPr="007A5F5B" w:rsidRDefault="00075565" w:rsidP="00062F10">
      <w:pPr>
        <w:pStyle w:val="3"/>
        <w:keepLines/>
        <w:numPr>
          <w:ilvl w:val="0"/>
          <w:numId w:val="32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12" w:name="_Toc114837530"/>
      <w:r w:rsidRPr="007A5F5B">
        <w:rPr>
          <w:rFonts w:ascii="Tahoma" w:hAnsi="Tahoma" w:cs="Tahoma"/>
          <w:sz w:val="24"/>
          <w:szCs w:val="24"/>
        </w:rPr>
        <w:t>Обязательств</w:t>
      </w:r>
      <w:r w:rsidR="004C6F1F" w:rsidRPr="007A5F5B">
        <w:rPr>
          <w:rFonts w:ascii="Tahoma" w:hAnsi="Tahoma" w:cs="Tahoma"/>
          <w:sz w:val="24"/>
          <w:szCs w:val="24"/>
        </w:rPr>
        <w:t>а</w:t>
      </w:r>
      <w:r w:rsidRPr="007A5F5B">
        <w:rPr>
          <w:rFonts w:ascii="Tahoma" w:hAnsi="Tahoma" w:cs="Tahoma"/>
          <w:sz w:val="24"/>
          <w:szCs w:val="24"/>
        </w:rPr>
        <w:t xml:space="preserve"> </w:t>
      </w:r>
      <w:r w:rsidR="00890CEF" w:rsidRPr="007A5F5B">
        <w:rPr>
          <w:rFonts w:ascii="Tahoma" w:hAnsi="Tahoma" w:cs="Tahoma"/>
          <w:sz w:val="24"/>
          <w:szCs w:val="24"/>
        </w:rPr>
        <w:t>и/или практики по продвижению/внедрению принципов «зе</w:t>
      </w:r>
      <w:r w:rsidRPr="007A5F5B">
        <w:rPr>
          <w:rFonts w:ascii="Tahoma" w:hAnsi="Tahoma" w:cs="Tahoma"/>
          <w:sz w:val="24"/>
          <w:szCs w:val="24"/>
        </w:rPr>
        <w:t>леного офиса» в офисах компании</w:t>
      </w:r>
      <w:bookmarkEnd w:id="12"/>
    </w:p>
    <w:p w:rsidR="00DC6983" w:rsidRPr="007A5F5B" w:rsidRDefault="00DC6983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Принципы «Зеленого офиса» внедрены используются в производственной системе АО</w:t>
      </w:r>
      <w:r w:rsidR="00075565" w:rsidRPr="007A5F5B">
        <w:rPr>
          <w:rFonts w:ascii="Tahoma" w:hAnsi="Tahoma" w:cs="Tahoma"/>
          <w:sz w:val="24"/>
          <w:szCs w:val="24"/>
        </w:rPr>
        <w:t> </w:t>
      </w:r>
      <w:r w:rsidRPr="007A5F5B">
        <w:rPr>
          <w:rFonts w:ascii="Tahoma" w:hAnsi="Tahoma" w:cs="Tahoma"/>
          <w:sz w:val="24"/>
          <w:szCs w:val="24"/>
        </w:rPr>
        <w:t xml:space="preserve">«Зарубежнефть», в направлении «Бережливое </w:t>
      </w:r>
      <w:r w:rsidR="00ED4424" w:rsidRPr="007A5F5B">
        <w:rPr>
          <w:rFonts w:ascii="Tahoma" w:hAnsi="Tahoma" w:cs="Tahoma"/>
          <w:sz w:val="24"/>
          <w:szCs w:val="24"/>
        </w:rPr>
        <w:t>п</w:t>
      </w:r>
      <w:r w:rsidR="00E71DEE" w:rsidRPr="007A5F5B">
        <w:rPr>
          <w:rFonts w:ascii="Tahoma" w:hAnsi="Tahoma" w:cs="Tahoma"/>
          <w:sz w:val="24"/>
          <w:szCs w:val="24"/>
        </w:rPr>
        <w:t>роизводство» (</w:t>
      </w:r>
      <w:r w:rsidR="002B421B" w:rsidRPr="007A5F5B">
        <w:rPr>
          <w:rFonts w:ascii="Tahoma" w:hAnsi="Tahoma" w:cs="Tahoma"/>
          <w:sz w:val="24"/>
          <w:szCs w:val="24"/>
        </w:rPr>
        <w:t xml:space="preserve">информация </w:t>
      </w:r>
      <w:r w:rsidR="005265BB" w:rsidRPr="007A5F5B">
        <w:rPr>
          <w:rFonts w:ascii="Tahoma" w:hAnsi="Tahoma" w:cs="Tahoma"/>
          <w:sz w:val="24"/>
          <w:szCs w:val="24"/>
        </w:rPr>
        <w:t>на корпоративном сайте компании)</w:t>
      </w:r>
      <w:r w:rsidR="0051354E" w:rsidRPr="007A5F5B">
        <w:rPr>
          <w:rFonts w:ascii="Tahoma" w:hAnsi="Tahoma" w:cs="Tahoma"/>
          <w:sz w:val="24"/>
          <w:szCs w:val="24"/>
        </w:rPr>
        <w:t>:</w:t>
      </w:r>
    </w:p>
    <w:p w:rsidR="00380F63" w:rsidRPr="007A5F5B" w:rsidRDefault="005B169D" w:rsidP="009D3A9F">
      <w:pPr>
        <w:spacing w:before="120" w:after="12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hyperlink r:id="rId15" w:history="1">
        <w:r w:rsidR="005265BB" w:rsidRPr="007A5F5B">
          <w:rPr>
            <w:rStyle w:val="a8"/>
            <w:rFonts w:ascii="Tahoma" w:hAnsi="Tahoma" w:cs="Tahoma"/>
            <w:color w:val="auto"/>
            <w:sz w:val="24"/>
            <w:szCs w:val="24"/>
          </w:rPr>
          <w:t>https://www.nestro.ru/media/filer_public/56/a6/56a6ffe1-ec19-495f-a36b-3b16eeaedb2d/zn_listovki_web.pdf</w:t>
        </w:r>
      </w:hyperlink>
    </w:p>
    <w:p w:rsidR="00890CEF" w:rsidRPr="007A5F5B" w:rsidRDefault="00075565" w:rsidP="00062F10">
      <w:pPr>
        <w:pStyle w:val="3"/>
        <w:keepLines/>
        <w:numPr>
          <w:ilvl w:val="0"/>
          <w:numId w:val="32"/>
        </w:numPr>
        <w:tabs>
          <w:tab w:val="left" w:pos="1701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13" w:name="_Toc114837531"/>
      <w:r w:rsidRPr="007A5F5B">
        <w:rPr>
          <w:rFonts w:ascii="Tahoma" w:hAnsi="Tahoma" w:cs="Tahoma"/>
          <w:sz w:val="24"/>
          <w:szCs w:val="24"/>
        </w:rPr>
        <w:t xml:space="preserve">Требования </w:t>
      </w:r>
      <w:r w:rsidR="00890CEF" w:rsidRPr="007A5F5B">
        <w:rPr>
          <w:rFonts w:ascii="Tahoma" w:hAnsi="Tahoma" w:cs="Tahoma"/>
          <w:sz w:val="24"/>
          <w:szCs w:val="24"/>
        </w:rPr>
        <w:t>по повышению экологических показателей транспортных средств компании (вк</w:t>
      </w:r>
      <w:r w:rsidRPr="007A5F5B">
        <w:rPr>
          <w:rFonts w:ascii="Tahoma" w:hAnsi="Tahoma" w:cs="Tahoma"/>
          <w:sz w:val="24"/>
          <w:szCs w:val="24"/>
        </w:rPr>
        <w:t>лючая ТС подрядных организаций)</w:t>
      </w:r>
      <w:bookmarkEnd w:id="13"/>
    </w:p>
    <w:p w:rsidR="00890CEF" w:rsidRPr="007A5F5B" w:rsidRDefault="00075565" w:rsidP="00062F10">
      <w:pPr>
        <w:pStyle w:val="3"/>
        <w:keepLines/>
        <w:numPr>
          <w:ilvl w:val="0"/>
          <w:numId w:val="32"/>
        </w:numPr>
        <w:tabs>
          <w:tab w:val="left" w:pos="1701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14" w:name="_Toc114837532"/>
      <w:r w:rsidRPr="007A5F5B">
        <w:rPr>
          <w:rFonts w:ascii="Tahoma" w:hAnsi="Tahoma" w:cs="Tahoma"/>
          <w:sz w:val="24"/>
          <w:szCs w:val="24"/>
        </w:rPr>
        <w:t xml:space="preserve">Требования </w:t>
      </w:r>
      <w:r w:rsidR="00890CEF" w:rsidRPr="007A5F5B">
        <w:rPr>
          <w:rFonts w:ascii="Tahoma" w:hAnsi="Tahoma" w:cs="Tahoma"/>
          <w:sz w:val="24"/>
          <w:szCs w:val="24"/>
        </w:rPr>
        <w:t>по распространению экологических стандартов компа</w:t>
      </w:r>
      <w:r w:rsidRPr="007A5F5B">
        <w:rPr>
          <w:rFonts w:ascii="Tahoma" w:hAnsi="Tahoma" w:cs="Tahoma"/>
          <w:sz w:val="24"/>
          <w:szCs w:val="24"/>
        </w:rPr>
        <w:t>нии на деятельность подрядчиков</w:t>
      </w:r>
      <w:bookmarkEnd w:id="14"/>
    </w:p>
    <w:p w:rsidR="009B3B78" w:rsidRPr="007A5F5B" w:rsidRDefault="009B3B78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В </w:t>
      </w:r>
      <w:r w:rsidR="005E42B6">
        <w:rPr>
          <w:rFonts w:ascii="Tahoma" w:hAnsi="Tahoma" w:cs="Tahoma"/>
          <w:sz w:val="24"/>
          <w:szCs w:val="24"/>
        </w:rPr>
        <w:t xml:space="preserve">ГК </w:t>
      </w:r>
      <w:r w:rsidRPr="007A5F5B">
        <w:rPr>
          <w:rFonts w:ascii="Tahoma" w:hAnsi="Tahoma" w:cs="Tahoma"/>
          <w:sz w:val="24"/>
          <w:szCs w:val="24"/>
        </w:rPr>
        <w:t xml:space="preserve">АО «Зарубежнефть» действуют единые требования к подрядчику в области ОТ, ПБ и ООС </w:t>
      </w:r>
      <w:r w:rsidR="00913C25" w:rsidRPr="007A5F5B">
        <w:rPr>
          <w:rFonts w:ascii="Tahoma" w:hAnsi="Tahoma" w:cs="Tahoma"/>
          <w:sz w:val="24"/>
          <w:szCs w:val="24"/>
        </w:rPr>
        <w:t xml:space="preserve">и утверждены </w:t>
      </w:r>
      <w:r w:rsidR="00075565" w:rsidRPr="007A5F5B">
        <w:rPr>
          <w:rFonts w:ascii="Tahoma" w:hAnsi="Tahoma" w:cs="Tahoma"/>
          <w:sz w:val="24"/>
          <w:szCs w:val="24"/>
        </w:rPr>
        <w:t>приказом</w:t>
      </w:r>
      <w:r w:rsidRPr="007A5F5B">
        <w:rPr>
          <w:rFonts w:ascii="Tahoma" w:hAnsi="Tahoma" w:cs="Tahoma"/>
          <w:sz w:val="24"/>
          <w:szCs w:val="24"/>
        </w:rPr>
        <w:t xml:space="preserve"> </w:t>
      </w:r>
      <w:r w:rsidR="00913C25" w:rsidRPr="007A5F5B">
        <w:rPr>
          <w:rFonts w:ascii="Tahoma" w:hAnsi="Tahoma" w:cs="Tahoma"/>
          <w:sz w:val="24"/>
          <w:szCs w:val="24"/>
        </w:rPr>
        <w:t>АО «</w:t>
      </w:r>
      <w:r w:rsidR="002B421B" w:rsidRPr="007A5F5B">
        <w:rPr>
          <w:rFonts w:ascii="Tahoma" w:hAnsi="Tahoma" w:cs="Tahoma"/>
          <w:sz w:val="24"/>
          <w:szCs w:val="24"/>
        </w:rPr>
        <w:t>Зарубежнефть</w:t>
      </w:r>
      <w:r w:rsidR="00913C25" w:rsidRPr="007A5F5B">
        <w:rPr>
          <w:rFonts w:ascii="Tahoma" w:hAnsi="Tahoma" w:cs="Tahoma"/>
          <w:sz w:val="24"/>
          <w:szCs w:val="24"/>
        </w:rPr>
        <w:t>» от 11</w:t>
      </w:r>
      <w:r w:rsidR="003E4619" w:rsidRPr="007A5F5B">
        <w:rPr>
          <w:rFonts w:ascii="Tahoma" w:hAnsi="Tahoma" w:cs="Tahoma"/>
          <w:sz w:val="24"/>
          <w:szCs w:val="24"/>
        </w:rPr>
        <w:t>.05.</w:t>
      </w:r>
      <w:r w:rsidR="00913C25" w:rsidRPr="007A5F5B">
        <w:rPr>
          <w:rFonts w:ascii="Tahoma" w:hAnsi="Tahoma" w:cs="Tahoma"/>
          <w:sz w:val="24"/>
          <w:szCs w:val="24"/>
        </w:rPr>
        <w:t xml:space="preserve">2017 </w:t>
      </w:r>
      <w:r w:rsidR="00B65AFC" w:rsidRPr="007A5F5B">
        <w:rPr>
          <w:rFonts w:ascii="Tahoma" w:hAnsi="Tahoma" w:cs="Tahoma"/>
          <w:sz w:val="24"/>
          <w:szCs w:val="24"/>
        </w:rPr>
        <w:t xml:space="preserve">№ 118 </w:t>
      </w:r>
      <w:r w:rsidR="00E036C8" w:rsidRPr="007A5F5B">
        <w:rPr>
          <w:rFonts w:ascii="Tahoma" w:hAnsi="Tahoma" w:cs="Tahoma"/>
          <w:sz w:val="24"/>
          <w:szCs w:val="24"/>
        </w:rPr>
        <w:t xml:space="preserve">с </w:t>
      </w:r>
      <w:r w:rsidR="00E036C8" w:rsidRPr="007A5F5B">
        <w:rPr>
          <w:rFonts w:ascii="Tahoma" w:hAnsi="Tahoma" w:cs="Tahoma"/>
          <w:sz w:val="24"/>
          <w:szCs w:val="24"/>
        </w:rPr>
        <w:lastRenderedPageBreak/>
        <w:t>изменениями от 29.06.2020 № 138 Об Утверждении Регламента по управлению подрядными организациями в области охраны труда, промышленной безопасности и охраны окружающей среды.</w:t>
      </w:r>
    </w:p>
    <w:p w:rsidR="00913C25" w:rsidRPr="007A5F5B" w:rsidRDefault="00913C25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В регламенте к подрядным организациям устанавливаются такие-же требования по соблюдению экологических стандартов, как и </w:t>
      </w:r>
      <w:r w:rsidR="00075565" w:rsidRPr="007A5F5B">
        <w:rPr>
          <w:rFonts w:ascii="Tahoma" w:hAnsi="Tahoma" w:cs="Tahoma"/>
          <w:sz w:val="24"/>
          <w:szCs w:val="24"/>
        </w:rPr>
        <w:t>к структурным подразделениям АО </w:t>
      </w:r>
      <w:r w:rsidRPr="007A5F5B">
        <w:rPr>
          <w:rFonts w:ascii="Tahoma" w:hAnsi="Tahoma" w:cs="Tahoma"/>
          <w:sz w:val="24"/>
          <w:szCs w:val="24"/>
        </w:rPr>
        <w:t>«Зарубежнефть». Регламент устанавливает Шкалу штрафных санкций за нарушения в области ОТ, ПБ и ООС (Приложение №</w:t>
      </w:r>
      <w:r w:rsidR="00075565" w:rsidRPr="007A5F5B">
        <w:rPr>
          <w:rFonts w:ascii="Tahoma" w:hAnsi="Tahoma" w:cs="Tahoma"/>
          <w:sz w:val="24"/>
          <w:szCs w:val="24"/>
        </w:rPr>
        <w:t xml:space="preserve"> </w:t>
      </w:r>
      <w:r w:rsidRPr="007A5F5B">
        <w:rPr>
          <w:rFonts w:ascii="Tahoma" w:hAnsi="Tahoma" w:cs="Tahoma"/>
          <w:sz w:val="24"/>
          <w:szCs w:val="24"/>
        </w:rPr>
        <w:t>2) и Примерный перечень нарушений допускающий остановку ра</w:t>
      </w:r>
      <w:r w:rsidR="00075565" w:rsidRPr="007A5F5B">
        <w:rPr>
          <w:rFonts w:ascii="Tahoma" w:hAnsi="Tahoma" w:cs="Tahoma"/>
          <w:sz w:val="24"/>
          <w:szCs w:val="24"/>
        </w:rPr>
        <w:t>бот подрядчика (Приложение № 3).</w:t>
      </w:r>
    </w:p>
    <w:p w:rsidR="00890CEF" w:rsidRDefault="00BD19E3" w:rsidP="000820B6">
      <w:pPr>
        <w:pStyle w:val="2"/>
        <w:numPr>
          <w:ilvl w:val="0"/>
          <w:numId w:val="33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15" w:name="_Toc114837533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Наличие документированной информации по взаимодействию с местным населением по сохранению традиционного уклада жизни</w:t>
      </w:r>
      <w:bookmarkEnd w:id="15"/>
    </w:p>
    <w:p w:rsidR="00245095" w:rsidRPr="00245095" w:rsidRDefault="00245095" w:rsidP="00245095">
      <w:r>
        <w:t xml:space="preserve">В связи с </w:t>
      </w:r>
    </w:p>
    <w:p w:rsidR="00890CEF" w:rsidRPr="00BF6F3E" w:rsidRDefault="00890CEF" w:rsidP="000820B6">
      <w:pPr>
        <w:pStyle w:val="2"/>
        <w:numPr>
          <w:ilvl w:val="0"/>
          <w:numId w:val="33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16" w:name="_Toc114837534"/>
      <w:r w:rsidRPr="00BF6F3E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Программа по энергоэффективности</w:t>
      </w:r>
      <w:bookmarkEnd w:id="16"/>
    </w:p>
    <w:p w:rsidR="00DE71C8" w:rsidRPr="007A5F5B" w:rsidRDefault="00300015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Деятельность </w:t>
      </w:r>
      <w:r w:rsidR="005E42B6">
        <w:rPr>
          <w:rFonts w:ascii="Tahoma" w:hAnsi="Tahoma" w:cs="Tahoma"/>
          <w:sz w:val="24"/>
          <w:szCs w:val="24"/>
        </w:rPr>
        <w:t xml:space="preserve">ГК </w:t>
      </w:r>
      <w:r w:rsidRPr="007A5F5B">
        <w:rPr>
          <w:rFonts w:ascii="Tahoma" w:hAnsi="Tahoma" w:cs="Tahoma"/>
          <w:sz w:val="24"/>
          <w:szCs w:val="24"/>
        </w:rPr>
        <w:t>АО «Зарубежнефть» в области энергоэффективности осуществляется в соответствии с утвержденной «Программой энергосбережения и повышения энергетической эффективности Группы компан</w:t>
      </w:r>
      <w:r w:rsidR="000571B4" w:rsidRPr="007A5F5B">
        <w:rPr>
          <w:rFonts w:ascii="Tahoma" w:hAnsi="Tahoma" w:cs="Tahoma"/>
          <w:sz w:val="24"/>
          <w:szCs w:val="24"/>
        </w:rPr>
        <w:t>ий «Зарубежнефть» на 2021</w:t>
      </w:r>
      <w:r w:rsidR="00F7046C" w:rsidRPr="007A5F5B">
        <w:rPr>
          <w:rFonts w:ascii="Tahoma" w:hAnsi="Tahoma" w:cs="Tahoma"/>
          <w:sz w:val="24"/>
          <w:szCs w:val="24"/>
        </w:rPr>
        <w:t xml:space="preserve"> год» </w:t>
      </w:r>
      <w:r w:rsidR="00075565" w:rsidRPr="007A5F5B">
        <w:rPr>
          <w:rFonts w:ascii="Tahoma" w:hAnsi="Tahoma" w:cs="Tahoma"/>
          <w:sz w:val="24"/>
          <w:szCs w:val="24"/>
        </w:rPr>
        <w:t>приказ</w:t>
      </w:r>
      <w:r w:rsidRPr="007A5F5B">
        <w:rPr>
          <w:rFonts w:ascii="Tahoma" w:hAnsi="Tahoma" w:cs="Tahoma"/>
          <w:sz w:val="24"/>
          <w:szCs w:val="24"/>
        </w:rPr>
        <w:t xml:space="preserve"> </w:t>
      </w:r>
      <w:r w:rsidR="000571B4" w:rsidRPr="007A5F5B">
        <w:rPr>
          <w:rFonts w:ascii="Tahoma" w:hAnsi="Tahoma" w:cs="Tahoma"/>
          <w:sz w:val="24"/>
          <w:szCs w:val="24"/>
        </w:rPr>
        <w:t>от 30</w:t>
      </w:r>
      <w:r w:rsidR="003E4619" w:rsidRPr="007A5F5B">
        <w:rPr>
          <w:rFonts w:ascii="Tahoma" w:hAnsi="Tahoma" w:cs="Tahoma"/>
          <w:sz w:val="24"/>
          <w:szCs w:val="24"/>
        </w:rPr>
        <w:t>.12.</w:t>
      </w:r>
      <w:r w:rsidR="000571B4" w:rsidRPr="007A5F5B">
        <w:rPr>
          <w:rFonts w:ascii="Tahoma" w:hAnsi="Tahoma" w:cs="Tahoma"/>
          <w:sz w:val="24"/>
          <w:szCs w:val="24"/>
        </w:rPr>
        <w:t>2020</w:t>
      </w:r>
      <w:r w:rsidR="00B65AFC" w:rsidRPr="007A5F5B">
        <w:rPr>
          <w:rFonts w:ascii="Tahoma" w:hAnsi="Tahoma" w:cs="Tahoma"/>
          <w:sz w:val="24"/>
          <w:szCs w:val="24"/>
        </w:rPr>
        <w:t xml:space="preserve"> № 368.</w:t>
      </w:r>
    </w:p>
    <w:p w:rsidR="000571B4" w:rsidRPr="007A5F5B" w:rsidRDefault="003D4C49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r w:rsidRPr="007A5F5B">
        <w:rPr>
          <w:rFonts w:ascii="Tahoma" w:hAnsi="Tahoma" w:cs="Tahoma"/>
          <w:i/>
          <w:sz w:val="24"/>
          <w:szCs w:val="24"/>
        </w:rPr>
        <w:t>Основные принципы программы:</w:t>
      </w:r>
    </w:p>
    <w:p w:rsidR="000571B4" w:rsidRPr="007A5F5B" w:rsidRDefault="000571B4" w:rsidP="00B9725F">
      <w:pPr>
        <w:pStyle w:val="ad"/>
        <w:numPr>
          <w:ilvl w:val="0"/>
          <w:numId w:val="22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с окупаемостью в течение 3-5 лет;</w:t>
      </w:r>
    </w:p>
    <w:p w:rsidR="000571B4" w:rsidRPr="007A5F5B" w:rsidRDefault="000571B4" w:rsidP="00B9725F">
      <w:pPr>
        <w:pStyle w:val="ad"/>
        <w:numPr>
          <w:ilvl w:val="0"/>
          <w:numId w:val="22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разработка мероприятий, направленных на снижение удельных энергетических затрат на единицу добычи, подготовки нефтесодержащей жидкости и ППД, а также прочих затрат в сегменте «Геологоразведка и добыча», переработки сырья в сегменте «Нефтепереработка и сбыт» и снижения годового потребления энергоресурсов в сегменте «Сервисные и прочие активы»;</w:t>
      </w:r>
    </w:p>
    <w:p w:rsidR="000571B4" w:rsidRPr="007A5F5B" w:rsidRDefault="000571B4" w:rsidP="00B9725F">
      <w:pPr>
        <w:pStyle w:val="ad"/>
        <w:numPr>
          <w:ilvl w:val="0"/>
          <w:numId w:val="22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расширение газовой генерации для снижения выработки электроэнергии на дизельной;</w:t>
      </w:r>
    </w:p>
    <w:p w:rsidR="000571B4" w:rsidRPr="007A5F5B" w:rsidRDefault="000571B4" w:rsidP="00B9725F">
      <w:pPr>
        <w:pStyle w:val="ad"/>
        <w:numPr>
          <w:ilvl w:val="0"/>
          <w:numId w:val="22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вовлечение в процесс экономии энергетических ресурсов всего персонала предприятий;</w:t>
      </w:r>
    </w:p>
    <w:p w:rsidR="000571B4" w:rsidRDefault="000571B4" w:rsidP="00B9725F">
      <w:pPr>
        <w:pStyle w:val="ad"/>
        <w:numPr>
          <w:ilvl w:val="0"/>
          <w:numId w:val="22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вовлечение в производственный процесс вторичных энергетических ресурсов и отходов производства (ПНГ, </w:t>
      </w:r>
      <w:r w:rsidR="00AA3C04" w:rsidRPr="007A5F5B">
        <w:rPr>
          <w:rFonts w:ascii="Tahoma" w:hAnsi="Tahoma" w:cs="Tahoma"/>
          <w:sz w:val="24"/>
          <w:szCs w:val="24"/>
        </w:rPr>
        <w:t>отходы отработанного масла и т.</w:t>
      </w:r>
      <w:r w:rsidRPr="007A5F5B">
        <w:rPr>
          <w:rFonts w:ascii="Tahoma" w:hAnsi="Tahoma" w:cs="Tahoma"/>
          <w:sz w:val="24"/>
          <w:szCs w:val="24"/>
        </w:rPr>
        <w:t>п.).</w:t>
      </w:r>
    </w:p>
    <w:p w:rsidR="00245095" w:rsidRPr="007A5F5B" w:rsidRDefault="00245095" w:rsidP="00245095">
      <w:pPr>
        <w:pStyle w:val="ad"/>
        <w:tabs>
          <w:tab w:val="left" w:pos="284"/>
          <w:tab w:val="left" w:pos="567"/>
          <w:tab w:val="left" w:pos="993"/>
        </w:tabs>
        <w:spacing w:after="0" w:line="360" w:lineRule="auto"/>
        <w:ind w:left="709"/>
        <w:contextualSpacing w:val="0"/>
        <w:jc w:val="both"/>
        <w:rPr>
          <w:rFonts w:ascii="Tahoma" w:hAnsi="Tahoma" w:cs="Tahoma"/>
          <w:sz w:val="24"/>
          <w:szCs w:val="24"/>
        </w:rPr>
      </w:pPr>
    </w:p>
    <w:p w:rsidR="00890CEF" w:rsidRPr="007A5F5B" w:rsidRDefault="00890CEF" w:rsidP="000820B6">
      <w:pPr>
        <w:pStyle w:val="2"/>
        <w:numPr>
          <w:ilvl w:val="0"/>
          <w:numId w:val="33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17" w:name="_Toc114837535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lastRenderedPageBreak/>
        <w:t>Наличие в программах по сохранению биоразнообразия в регионах присутствия компании следующих компонентов</w:t>
      </w:r>
      <w:bookmarkEnd w:id="17"/>
    </w:p>
    <w:p w:rsidR="00890CEF" w:rsidRPr="007A5F5B" w:rsidRDefault="00B65AFC" w:rsidP="00B46838">
      <w:pPr>
        <w:pStyle w:val="3"/>
        <w:keepLines/>
        <w:numPr>
          <w:ilvl w:val="0"/>
          <w:numId w:val="37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18" w:name="_Toc114837536"/>
      <w:r w:rsidRPr="007A5F5B">
        <w:rPr>
          <w:rFonts w:ascii="Tahoma" w:hAnsi="Tahoma" w:cs="Tahoma"/>
          <w:sz w:val="24"/>
          <w:szCs w:val="24"/>
        </w:rPr>
        <w:t xml:space="preserve">Объем </w:t>
      </w:r>
      <w:r w:rsidR="00890CEF" w:rsidRPr="007A5F5B">
        <w:rPr>
          <w:rFonts w:ascii="Tahoma" w:hAnsi="Tahoma" w:cs="Tahoma"/>
          <w:sz w:val="24"/>
          <w:szCs w:val="24"/>
        </w:rPr>
        <w:t>финансирования на сохранение биоразнообразия</w:t>
      </w:r>
      <w:bookmarkEnd w:id="18"/>
    </w:p>
    <w:p w:rsidR="00DC47CA" w:rsidRPr="007A5F5B" w:rsidRDefault="00DC47CA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В 2021 г</w:t>
      </w:r>
      <w:r w:rsidR="008F466B" w:rsidRPr="007A5F5B">
        <w:rPr>
          <w:rFonts w:ascii="Tahoma" w:hAnsi="Tahoma" w:cs="Tahoma"/>
          <w:sz w:val="24"/>
          <w:szCs w:val="24"/>
        </w:rPr>
        <w:t>оду</w:t>
      </w:r>
      <w:r w:rsidRPr="007A5F5B">
        <w:rPr>
          <w:rFonts w:ascii="Tahoma" w:hAnsi="Tahoma" w:cs="Tahoma"/>
          <w:sz w:val="24"/>
          <w:szCs w:val="24"/>
        </w:rPr>
        <w:t xml:space="preserve"> работы по сохранению биоразнообразия</w:t>
      </w:r>
      <w:r w:rsidR="005E42B6">
        <w:rPr>
          <w:rFonts w:ascii="Tahoma" w:hAnsi="Tahoma" w:cs="Tahoma"/>
          <w:sz w:val="24"/>
          <w:szCs w:val="24"/>
        </w:rPr>
        <w:t xml:space="preserve"> не проводились</w:t>
      </w:r>
      <w:r w:rsidRPr="007A5F5B">
        <w:rPr>
          <w:rFonts w:ascii="Tahoma" w:hAnsi="Tahoma" w:cs="Tahoma"/>
          <w:sz w:val="24"/>
          <w:szCs w:val="24"/>
        </w:rPr>
        <w:t>.</w:t>
      </w:r>
    </w:p>
    <w:p w:rsidR="00890CEF" w:rsidRPr="007A5F5B" w:rsidRDefault="00B65AFC" w:rsidP="00B46838">
      <w:pPr>
        <w:pStyle w:val="3"/>
        <w:keepLines/>
        <w:numPr>
          <w:ilvl w:val="0"/>
          <w:numId w:val="37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19" w:name="_Toc114837537"/>
      <w:r w:rsidRPr="007A5F5B">
        <w:rPr>
          <w:rFonts w:ascii="Tahoma" w:hAnsi="Tahoma" w:cs="Tahoma"/>
          <w:sz w:val="24"/>
          <w:szCs w:val="24"/>
        </w:rPr>
        <w:t xml:space="preserve">Наличие </w:t>
      </w:r>
      <w:r w:rsidR="00890CEF" w:rsidRPr="007A5F5B">
        <w:rPr>
          <w:rFonts w:ascii="Tahoma" w:hAnsi="Tahoma" w:cs="Tahoma"/>
          <w:sz w:val="24"/>
          <w:szCs w:val="24"/>
        </w:rPr>
        <w:t>утвержденного списка видов-индикаторов в регионах присутствия/деятельности компании</w:t>
      </w:r>
      <w:bookmarkEnd w:id="19"/>
    </w:p>
    <w:p w:rsidR="006C79F0" w:rsidRPr="007A5F5B" w:rsidRDefault="006C79F0" w:rsidP="009D3A9F">
      <w:pPr>
        <w:spacing w:before="120" w:after="120" w:line="24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:rsidR="00890CEF" w:rsidRPr="007A5F5B" w:rsidRDefault="00B65AFC" w:rsidP="00B46838">
      <w:pPr>
        <w:pStyle w:val="3"/>
        <w:keepLines/>
        <w:numPr>
          <w:ilvl w:val="0"/>
          <w:numId w:val="37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20" w:name="_Toc114837538"/>
      <w:r w:rsidRPr="007A5F5B">
        <w:rPr>
          <w:rFonts w:ascii="Tahoma" w:hAnsi="Tahoma" w:cs="Tahoma"/>
          <w:sz w:val="24"/>
          <w:szCs w:val="24"/>
        </w:rPr>
        <w:t xml:space="preserve">Наличие </w:t>
      </w:r>
      <w:r w:rsidR="00890CEF" w:rsidRPr="007A5F5B">
        <w:rPr>
          <w:rFonts w:ascii="Tahoma" w:hAnsi="Tahoma" w:cs="Tahoma"/>
          <w:sz w:val="24"/>
          <w:szCs w:val="24"/>
        </w:rPr>
        <w:t>программ исследования и/или мониторинга видов-индикаторов</w:t>
      </w:r>
      <w:bookmarkEnd w:id="20"/>
    </w:p>
    <w:p w:rsidR="00890CEF" w:rsidRPr="007A5F5B" w:rsidRDefault="00B65AFC" w:rsidP="00B46838">
      <w:pPr>
        <w:pStyle w:val="3"/>
        <w:keepLines/>
        <w:numPr>
          <w:ilvl w:val="0"/>
          <w:numId w:val="37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21" w:name="_Toc114837539"/>
      <w:r w:rsidRPr="007A5F5B">
        <w:rPr>
          <w:rFonts w:ascii="Tahoma" w:hAnsi="Tahoma" w:cs="Tahoma"/>
          <w:sz w:val="24"/>
          <w:szCs w:val="24"/>
        </w:rPr>
        <w:t xml:space="preserve">Доступность </w:t>
      </w:r>
      <w:r w:rsidR="00890CEF" w:rsidRPr="007A5F5B">
        <w:rPr>
          <w:rFonts w:ascii="Tahoma" w:hAnsi="Tahoma" w:cs="Tahoma"/>
          <w:sz w:val="24"/>
          <w:szCs w:val="24"/>
        </w:rPr>
        <w:t>результатов научных исследований и работ в области сохранения биоразноо</w:t>
      </w:r>
      <w:r w:rsidRPr="007A5F5B">
        <w:rPr>
          <w:rFonts w:ascii="Tahoma" w:hAnsi="Tahoma" w:cs="Tahoma"/>
          <w:sz w:val="24"/>
          <w:szCs w:val="24"/>
        </w:rPr>
        <w:t>бразия в публичном пространстве</w:t>
      </w:r>
      <w:bookmarkEnd w:id="21"/>
    </w:p>
    <w:p w:rsidR="00890CEF" w:rsidRPr="007A5F5B" w:rsidRDefault="00B65AFC" w:rsidP="00B46838">
      <w:pPr>
        <w:pStyle w:val="3"/>
        <w:keepLines/>
        <w:numPr>
          <w:ilvl w:val="0"/>
          <w:numId w:val="37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22" w:name="_Toc114837540"/>
      <w:r w:rsidRPr="007A5F5B">
        <w:rPr>
          <w:rFonts w:ascii="Tahoma" w:hAnsi="Tahoma" w:cs="Tahoma"/>
          <w:sz w:val="24"/>
          <w:szCs w:val="24"/>
        </w:rPr>
        <w:t xml:space="preserve">Механизмы </w:t>
      </w:r>
      <w:r w:rsidR="00890CEF" w:rsidRPr="007A5F5B">
        <w:rPr>
          <w:rFonts w:ascii="Tahoma" w:hAnsi="Tahoma" w:cs="Tahoma"/>
          <w:sz w:val="24"/>
          <w:szCs w:val="24"/>
        </w:rPr>
        <w:t>участия заинтересованных сторон в обсуждении программ сохранения биоразнообразия (обсуждение методологии, результатов и др.)</w:t>
      </w:r>
      <w:bookmarkEnd w:id="22"/>
    </w:p>
    <w:p w:rsidR="00890CEF" w:rsidRDefault="00890CEF" w:rsidP="001651EE">
      <w:pPr>
        <w:pStyle w:val="2"/>
        <w:numPr>
          <w:ilvl w:val="0"/>
          <w:numId w:val="33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23" w:name="_Toc114837541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Наличие компонента по спасению животных в документах по предупреждению и ликвидации разливов нефти и нефтепродуктов, утвержденных компанией</w:t>
      </w:r>
      <w:bookmarkEnd w:id="23"/>
    </w:p>
    <w:p w:rsidR="00BA5036" w:rsidRDefault="00BA5036" w:rsidP="00BA5036">
      <w:pPr>
        <w:jc w:val="both"/>
        <w:rPr>
          <w:rFonts w:ascii="Tahoma" w:hAnsi="Tahoma" w:cs="Tahoma"/>
          <w:sz w:val="24"/>
          <w:szCs w:val="24"/>
        </w:rPr>
      </w:pPr>
      <w:r w:rsidRPr="00CE5921"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Компонент по спасению животных в Планах по ликвидации и локализации последствий аварий (ПЛА) предусмотрен и представлен на </w:t>
      </w:r>
      <w:r w:rsidR="00CE5921" w:rsidRPr="00CE5921">
        <w:rPr>
          <w:rFonts w:ascii="Tahoma" w:hAnsi="Tahoma" w:cs="Tahoma"/>
          <w:sz w:val="24"/>
          <w:szCs w:val="24"/>
          <w:shd w:val="clear" w:color="auto" w:fill="FFFFFF" w:themeFill="background1"/>
        </w:rPr>
        <w:t>сайте:</w:t>
      </w:r>
    </w:p>
    <w:p w:rsidR="00CE5921" w:rsidRPr="00CE5921" w:rsidRDefault="00CE5921" w:rsidP="00BA5036">
      <w:pPr>
        <w:jc w:val="both"/>
        <w:rPr>
          <w:rFonts w:ascii="Tahoma" w:hAnsi="Tahoma" w:cs="Tahoma"/>
          <w:sz w:val="24"/>
          <w:szCs w:val="24"/>
        </w:rPr>
      </w:pPr>
      <w:r w:rsidRPr="00CE5921">
        <w:rPr>
          <w:rFonts w:ascii="Tahoma" w:hAnsi="Tahoma" w:cs="Tahoma"/>
          <w:sz w:val="24"/>
          <w:szCs w:val="24"/>
        </w:rPr>
        <w:t>https://www.nestro.ru/media/filer_public/ef/e0/efe0c084-2596-4613-877e-7d98888f3bd6/___.pdf</w:t>
      </w:r>
    </w:p>
    <w:p w:rsidR="00890CEF" w:rsidRPr="007A5F5B" w:rsidRDefault="00EE412B" w:rsidP="005B1C5D">
      <w:pPr>
        <w:pStyle w:val="2"/>
        <w:numPr>
          <w:ilvl w:val="0"/>
          <w:numId w:val="33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24" w:name="_Toc114837542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Страхование экологических рисков (в том числе добровольное)</w:t>
      </w:r>
      <w:bookmarkEnd w:id="24"/>
    </w:p>
    <w:p w:rsidR="00BA679B" w:rsidRDefault="00976BA4" w:rsidP="00DD2956">
      <w:pPr>
        <w:shd w:val="clear" w:color="auto" w:fill="FFFFFF" w:themeFill="background1"/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В </w:t>
      </w:r>
      <w:r w:rsidR="00CE5921">
        <w:rPr>
          <w:rFonts w:ascii="Tahoma" w:hAnsi="Tahoma" w:cs="Tahoma"/>
          <w:sz w:val="24"/>
          <w:szCs w:val="24"/>
        </w:rPr>
        <w:t xml:space="preserve">СП </w:t>
      </w:r>
      <w:r w:rsidRPr="007A5F5B">
        <w:rPr>
          <w:rFonts w:ascii="Tahoma" w:hAnsi="Tahoma" w:cs="Tahoma"/>
          <w:sz w:val="24"/>
          <w:szCs w:val="24"/>
        </w:rPr>
        <w:t>ООО «</w:t>
      </w:r>
      <w:r w:rsidR="00CE5921">
        <w:rPr>
          <w:rFonts w:ascii="Tahoma" w:hAnsi="Tahoma" w:cs="Tahoma"/>
          <w:sz w:val="24"/>
          <w:szCs w:val="24"/>
        </w:rPr>
        <w:t>Андижанпетро</w:t>
      </w:r>
      <w:r w:rsidR="0041726D" w:rsidRPr="007A5F5B">
        <w:rPr>
          <w:rFonts w:ascii="Tahoma" w:hAnsi="Tahoma" w:cs="Tahoma"/>
          <w:sz w:val="24"/>
          <w:szCs w:val="24"/>
        </w:rPr>
        <w:t xml:space="preserve">» заключен договор от </w:t>
      </w:r>
      <w:r w:rsidR="00402A00">
        <w:rPr>
          <w:rFonts w:ascii="Tahoma" w:hAnsi="Tahoma" w:cs="Tahoma"/>
          <w:sz w:val="24"/>
          <w:szCs w:val="24"/>
        </w:rPr>
        <w:t>22</w:t>
      </w:r>
      <w:r w:rsidR="00651B49" w:rsidRPr="007A5F5B">
        <w:rPr>
          <w:rFonts w:ascii="Tahoma" w:hAnsi="Tahoma" w:cs="Tahoma"/>
          <w:sz w:val="24"/>
          <w:szCs w:val="24"/>
        </w:rPr>
        <w:t>.</w:t>
      </w:r>
      <w:r w:rsidR="00402A00">
        <w:rPr>
          <w:rFonts w:ascii="Tahoma" w:hAnsi="Tahoma" w:cs="Tahoma"/>
          <w:sz w:val="24"/>
          <w:szCs w:val="24"/>
        </w:rPr>
        <w:t>0</w:t>
      </w:r>
      <w:r w:rsidR="00651B49" w:rsidRPr="007A5F5B">
        <w:rPr>
          <w:rFonts w:ascii="Tahoma" w:hAnsi="Tahoma" w:cs="Tahoma"/>
          <w:sz w:val="24"/>
          <w:szCs w:val="24"/>
        </w:rPr>
        <w:t>1.202</w:t>
      </w:r>
      <w:r w:rsidR="00402A00">
        <w:rPr>
          <w:rFonts w:ascii="Tahoma" w:hAnsi="Tahoma" w:cs="Tahoma"/>
          <w:sz w:val="24"/>
          <w:szCs w:val="24"/>
        </w:rPr>
        <w:t>0</w:t>
      </w:r>
      <w:r w:rsidR="00651B49" w:rsidRPr="007A5F5B">
        <w:rPr>
          <w:rFonts w:ascii="Tahoma" w:hAnsi="Tahoma" w:cs="Tahoma"/>
          <w:sz w:val="24"/>
          <w:szCs w:val="24"/>
        </w:rPr>
        <w:t xml:space="preserve"> №</w:t>
      </w:r>
      <w:r w:rsidR="005830D7" w:rsidRPr="007A5F5B">
        <w:rPr>
          <w:rFonts w:ascii="Tahoma" w:hAnsi="Tahoma" w:cs="Tahoma"/>
          <w:sz w:val="24"/>
          <w:szCs w:val="24"/>
        </w:rPr>
        <w:t> </w:t>
      </w:r>
      <w:r w:rsidR="00402A00">
        <w:rPr>
          <w:rFonts w:ascii="Tahoma" w:hAnsi="Tahoma" w:cs="Tahoma"/>
          <w:sz w:val="24"/>
          <w:szCs w:val="24"/>
        </w:rPr>
        <w:t>01-00/0941115697 на основании которого НКЭИС «Узбекинвест» предоставляет страховую защиту при возникновении гражданской ответственности</w:t>
      </w:r>
      <w:r w:rsidR="0051354E" w:rsidRPr="007A5F5B">
        <w:rPr>
          <w:rFonts w:ascii="Tahoma" w:hAnsi="Tahoma" w:cs="Tahoma"/>
          <w:sz w:val="24"/>
          <w:szCs w:val="24"/>
        </w:rPr>
        <w:t>:</w:t>
      </w:r>
    </w:p>
    <w:p w:rsidR="00CE5921" w:rsidRPr="007A5F5B" w:rsidRDefault="00CE5921" w:rsidP="00DD2956">
      <w:pPr>
        <w:shd w:val="clear" w:color="auto" w:fill="FFFFFF" w:themeFill="background1"/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CE5921">
        <w:rPr>
          <w:rFonts w:ascii="Tahoma" w:hAnsi="Tahoma" w:cs="Tahoma"/>
          <w:sz w:val="24"/>
          <w:szCs w:val="24"/>
        </w:rPr>
        <w:t>https://www.nestro.ru/media/filer_public/be/e0/bee0848a-4b3d-485b-8d94-5c0ea1c14cb1/____andijanpetro_2020.pdf</w:t>
      </w:r>
    </w:p>
    <w:p w:rsidR="00EF2BF7" w:rsidRPr="007A5F5B" w:rsidRDefault="00EF2BF7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</w:p>
    <w:p w:rsidR="00890CEF" w:rsidRPr="007A5F5B" w:rsidRDefault="00890CEF" w:rsidP="005B1C5D">
      <w:pPr>
        <w:pStyle w:val="2"/>
        <w:numPr>
          <w:ilvl w:val="0"/>
          <w:numId w:val="33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25" w:name="_Toc114837543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Программа по повышению КИН</w:t>
      </w:r>
      <w:bookmarkEnd w:id="25"/>
    </w:p>
    <w:p w:rsidR="00206F90" w:rsidRDefault="00582904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Корпоративная стратегия развития </w:t>
      </w:r>
      <w:r w:rsidR="00377D17">
        <w:rPr>
          <w:rFonts w:ascii="Tahoma" w:hAnsi="Tahoma" w:cs="Tahoma"/>
          <w:sz w:val="24"/>
          <w:szCs w:val="24"/>
        </w:rPr>
        <w:t xml:space="preserve">ГК </w:t>
      </w:r>
      <w:r w:rsidRPr="007A5F5B">
        <w:rPr>
          <w:rFonts w:ascii="Tahoma" w:hAnsi="Tahoma" w:cs="Tahoma"/>
          <w:sz w:val="24"/>
          <w:szCs w:val="24"/>
        </w:rPr>
        <w:t>АО «Зарубежнефть» до 2030 года была утверждена Советом директоров в 2014 году (</w:t>
      </w:r>
      <w:r w:rsidR="00F8567E" w:rsidRPr="007A5F5B">
        <w:rPr>
          <w:rFonts w:ascii="Tahoma" w:hAnsi="Tahoma" w:cs="Tahoma"/>
          <w:sz w:val="24"/>
          <w:szCs w:val="24"/>
        </w:rPr>
        <w:t xml:space="preserve">протокол </w:t>
      </w:r>
      <w:r w:rsidRPr="007A5F5B">
        <w:rPr>
          <w:rFonts w:ascii="Tahoma" w:hAnsi="Tahoma" w:cs="Tahoma"/>
          <w:sz w:val="24"/>
          <w:szCs w:val="24"/>
        </w:rPr>
        <w:t>от 26</w:t>
      </w:r>
      <w:r w:rsidR="00504EC2" w:rsidRPr="007A5F5B">
        <w:rPr>
          <w:rFonts w:ascii="Tahoma" w:hAnsi="Tahoma" w:cs="Tahoma"/>
          <w:sz w:val="24"/>
          <w:szCs w:val="24"/>
        </w:rPr>
        <w:t>.06.</w:t>
      </w:r>
      <w:r w:rsidRPr="007A5F5B">
        <w:rPr>
          <w:rFonts w:ascii="Tahoma" w:hAnsi="Tahoma" w:cs="Tahoma"/>
          <w:sz w:val="24"/>
          <w:szCs w:val="24"/>
        </w:rPr>
        <w:t>2014</w:t>
      </w:r>
      <w:r w:rsidR="00504EC2" w:rsidRPr="007A5F5B">
        <w:rPr>
          <w:rFonts w:ascii="Tahoma" w:hAnsi="Tahoma" w:cs="Tahoma"/>
          <w:sz w:val="24"/>
          <w:szCs w:val="24"/>
        </w:rPr>
        <w:t xml:space="preserve"> № 85</w:t>
      </w:r>
      <w:r w:rsidRPr="007A5F5B">
        <w:rPr>
          <w:rFonts w:ascii="Tahoma" w:hAnsi="Tahoma" w:cs="Tahoma"/>
          <w:sz w:val="24"/>
          <w:szCs w:val="24"/>
        </w:rPr>
        <w:t xml:space="preserve">). Согласно Стратегии основной фокус Компании – сегмент «Геологоразведка и добыча». При этом в данном сегменте АО «Зарубежнефть» концентрируется на месторождениях, в </w:t>
      </w:r>
      <w:r w:rsidRPr="007A5F5B">
        <w:rPr>
          <w:rFonts w:ascii="Tahoma" w:hAnsi="Tahoma" w:cs="Tahoma"/>
          <w:sz w:val="24"/>
          <w:szCs w:val="24"/>
        </w:rPr>
        <w:lastRenderedPageBreak/>
        <w:t>которых оно может наращивать уже существующие компетенции, а именно на месторождениях с разбалансированной системой разработки и месторождениях со сложными коллекторами, аналогичными разрабатываемым в регионах присутствия.</w:t>
      </w:r>
    </w:p>
    <w:p w:rsidR="00377D17" w:rsidRDefault="00377D17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Отчет о выполнении Программы по повышению КИН размещен на сайте:</w:t>
      </w:r>
    </w:p>
    <w:p w:rsidR="00377D17" w:rsidRPr="007A5F5B" w:rsidRDefault="00377D17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377D17">
        <w:rPr>
          <w:rFonts w:ascii="Tahoma" w:hAnsi="Tahoma" w:cs="Tahoma"/>
          <w:sz w:val="24"/>
          <w:szCs w:val="24"/>
        </w:rPr>
        <w:t>https://www.nestro.ru/media/filer_public/ce/8f/ce8f20e0-8cdb-4739-8d95-39446ab9a827/___.pdf</w:t>
      </w:r>
    </w:p>
    <w:p w:rsidR="00EE412B" w:rsidRPr="007A5F5B" w:rsidRDefault="00EE412B" w:rsidP="005B1C5D">
      <w:pPr>
        <w:pStyle w:val="2"/>
        <w:numPr>
          <w:ilvl w:val="0"/>
          <w:numId w:val="33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26" w:name="_Toc114837544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Учет рисков изменения климата в деятельности компании</w:t>
      </w:r>
      <w:bookmarkEnd w:id="26"/>
    </w:p>
    <w:p w:rsidR="00206F90" w:rsidRDefault="00432212" w:rsidP="00DD2956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Для реализации приверженности общему низкоуглеродному тренду и климатической повестке Компания продолжила осуществление мероприятий для сокращения выбросов парниковых газов на существующих процессах, стремясь к углеродной нейтральности как неизбежной реальности и права на дальнейшее осуществление деятельности. АО «Зарубежнефть» осознает необходимость внесения радикальных изменений в бизнес-модели, портфели активов и принятые практики в целях глубокой структурной трансформации</w:t>
      </w:r>
      <w:r w:rsidR="00206F90" w:rsidRPr="007A5F5B">
        <w:rPr>
          <w:rFonts w:ascii="Tahoma" w:hAnsi="Tahoma" w:cs="Tahoma"/>
          <w:sz w:val="24"/>
          <w:szCs w:val="24"/>
        </w:rPr>
        <w:t>.</w:t>
      </w:r>
    </w:p>
    <w:p w:rsidR="00E52553" w:rsidRPr="00615100" w:rsidRDefault="0052788B" w:rsidP="00DD2956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2021 году была начата работа по оценке финансовых последствий реализации климатических рисков (в соответствии с рекомендациями </w:t>
      </w:r>
      <w:r>
        <w:rPr>
          <w:rFonts w:ascii="Tahoma" w:hAnsi="Tahoma" w:cs="Tahoma"/>
          <w:sz w:val="24"/>
          <w:szCs w:val="24"/>
          <w:lang w:val="en-US"/>
        </w:rPr>
        <w:t>TCFD</w:t>
      </w:r>
      <w:r>
        <w:rPr>
          <w:rFonts w:ascii="Tahoma" w:hAnsi="Tahoma" w:cs="Tahoma"/>
          <w:sz w:val="24"/>
          <w:szCs w:val="24"/>
        </w:rPr>
        <w:t>).</w:t>
      </w:r>
    </w:p>
    <w:p w:rsidR="00C35A4F" w:rsidRPr="007A5F5B" w:rsidRDefault="00380F63" w:rsidP="005B1C5D">
      <w:pPr>
        <w:pStyle w:val="2"/>
        <w:numPr>
          <w:ilvl w:val="0"/>
          <w:numId w:val="33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27" w:name="_Toc114837545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Собственная выработка электрической энергии из возобновляемых источников энергии (ВИЭ) без учета ГЭС мощностью более 50</w:t>
      </w:r>
      <w:r w:rsidR="005B1C5D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 </w:t>
      </w:r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МВт</w:t>
      </w:r>
      <w:r w:rsidR="005B1C5D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 </w:t>
      </w:r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5, в том числе для производственных нужд</w:t>
      </w:r>
      <w:bookmarkEnd w:id="27"/>
    </w:p>
    <w:p w:rsidR="00206F90" w:rsidRPr="007A5F5B" w:rsidRDefault="00377D17" w:rsidP="00DD2956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Pr="00377D17">
        <w:rPr>
          <w:rFonts w:ascii="Tahoma" w:hAnsi="Tahoma" w:cs="Tahoma"/>
          <w:sz w:val="24"/>
          <w:szCs w:val="24"/>
        </w:rPr>
        <w:t>ыработка электрической энергии из возобно</w:t>
      </w:r>
      <w:r>
        <w:rPr>
          <w:rFonts w:ascii="Tahoma" w:hAnsi="Tahoma" w:cs="Tahoma"/>
          <w:sz w:val="24"/>
          <w:szCs w:val="24"/>
        </w:rPr>
        <w:t>вляемых источников энергии на объектах компании не производится.</w:t>
      </w:r>
    </w:p>
    <w:p w:rsidR="00074D96" w:rsidRPr="007A5F5B" w:rsidRDefault="00074D96" w:rsidP="005B1C5D">
      <w:pPr>
        <w:pStyle w:val="2"/>
        <w:numPr>
          <w:ilvl w:val="0"/>
          <w:numId w:val="33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28" w:name="_Toc114837546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Контроль со стороны </w:t>
      </w:r>
      <w:r w:rsidR="005B1C5D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С</w:t>
      </w:r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овета </w:t>
      </w:r>
      <w:r w:rsidR="005B1C5D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директоров </w:t>
      </w:r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(наблюдательного органа управления) за реализацией политики в области ООС</w:t>
      </w:r>
      <w:bookmarkEnd w:id="28"/>
    </w:p>
    <w:p w:rsidR="00074D96" w:rsidRDefault="007960FC" w:rsidP="00DD2956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Контроль реализации политики в области охраны окружающей среды осуществляется не реже 1 раза в год в рамках заседания Сове</w:t>
      </w:r>
      <w:r w:rsidR="00273E08">
        <w:rPr>
          <w:rFonts w:ascii="Tahoma" w:hAnsi="Tahoma" w:cs="Tahoma"/>
          <w:sz w:val="24"/>
          <w:szCs w:val="24"/>
        </w:rPr>
        <w:t xml:space="preserve">та директоров АО «Зарубежнефть». Заседания комитета по рискам при Совете директоров АО «Зарубежнефть» </w:t>
      </w:r>
      <w:r w:rsidR="00DD748A">
        <w:rPr>
          <w:rFonts w:ascii="Tahoma" w:hAnsi="Tahoma" w:cs="Tahoma"/>
          <w:sz w:val="24"/>
          <w:szCs w:val="24"/>
        </w:rPr>
        <w:t xml:space="preserve">проходят не реже 1 раза в 6 месяцев. Выписка из Протокола </w:t>
      </w:r>
      <w:r w:rsidR="00B21832">
        <w:rPr>
          <w:rFonts w:ascii="Tahoma" w:hAnsi="Tahoma" w:cs="Tahoma"/>
          <w:sz w:val="24"/>
          <w:szCs w:val="24"/>
        </w:rPr>
        <w:t xml:space="preserve">№ 198 от 25.08.2021 </w:t>
      </w:r>
      <w:r w:rsidR="00DD748A">
        <w:rPr>
          <w:rFonts w:ascii="Tahoma" w:hAnsi="Tahoma" w:cs="Tahoma"/>
          <w:sz w:val="24"/>
          <w:szCs w:val="24"/>
        </w:rPr>
        <w:t>заседания</w:t>
      </w:r>
      <w:r w:rsidR="00AE0F2C" w:rsidRPr="007A5F5B">
        <w:rPr>
          <w:rFonts w:ascii="Tahoma" w:hAnsi="Tahoma" w:cs="Tahoma"/>
          <w:sz w:val="24"/>
          <w:szCs w:val="24"/>
        </w:rPr>
        <w:t xml:space="preserve"> Совета директоров АО «Зарубежнефть»</w:t>
      </w:r>
      <w:r w:rsidR="00DD748A">
        <w:rPr>
          <w:rFonts w:ascii="Tahoma" w:hAnsi="Tahoma" w:cs="Tahoma"/>
          <w:sz w:val="24"/>
          <w:szCs w:val="24"/>
        </w:rPr>
        <w:t xml:space="preserve"> размещена на сайте компании:</w:t>
      </w:r>
    </w:p>
    <w:p w:rsidR="00DD748A" w:rsidRPr="007A5F5B" w:rsidRDefault="005B169D" w:rsidP="00DD2956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hyperlink r:id="rId16" w:history="1">
        <w:r w:rsidR="00601C78" w:rsidRPr="00D1675D">
          <w:rPr>
            <w:rStyle w:val="a8"/>
            <w:rFonts w:ascii="Tahoma" w:hAnsi="Tahoma" w:cs="Tahoma"/>
            <w:sz w:val="24"/>
            <w:szCs w:val="24"/>
          </w:rPr>
          <w:t>https://www.nestro.ru/media/filer_public/6e/1f/6e1f1a7b-00a3-4dd7-8705-29e9842bcd6b/_____2021.pdf</w:t>
        </w:r>
      </w:hyperlink>
      <w:r w:rsidR="00601C78">
        <w:rPr>
          <w:rFonts w:ascii="Tahoma" w:hAnsi="Tahoma" w:cs="Tahoma"/>
          <w:sz w:val="24"/>
          <w:szCs w:val="24"/>
        </w:rPr>
        <w:t xml:space="preserve"> </w:t>
      </w:r>
    </w:p>
    <w:p w:rsidR="00890CEF" w:rsidRPr="007A5F5B" w:rsidRDefault="002B485E" w:rsidP="000E0414">
      <w:pPr>
        <w:pStyle w:val="1"/>
        <w:numPr>
          <w:ilvl w:val="0"/>
          <w:numId w:val="31"/>
        </w:numPr>
        <w:spacing w:after="240" w:line="240" w:lineRule="auto"/>
        <w:ind w:left="2144" w:hanging="1435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29" w:name="_Toc114837547"/>
      <w:r w:rsidRPr="00524976">
        <w:rPr>
          <w:rFonts w:ascii="Tahoma" w:hAnsi="Tahoma" w:cs="Tahoma"/>
          <w:b/>
          <w:bCs/>
          <w:color w:val="auto"/>
          <w:sz w:val="24"/>
          <w:szCs w:val="24"/>
          <w:highlight w:val="yellow"/>
        </w:rPr>
        <w:lastRenderedPageBreak/>
        <w:t>ВОЗДЕЙСТВИЕ НА ОКРУЖАЮЩУЮ СРЕДУ</w:t>
      </w:r>
      <w:r w:rsidRPr="007A5F5B">
        <w:rPr>
          <w:rFonts w:ascii="Tahoma" w:hAnsi="Tahoma" w:cs="Tahoma"/>
          <w:b/>
          <w:bCs/>
          <w:color w:val="auto"/>
          <w:sz w:val="24"/>
          <w:szCs w:val="24"/>
        </w:rPr>
        <w:t xml:space="preserve"> </w:t>
      </w:r>
      <w:r w:rsidRPr="002B061B">
        <w:rPr>
          <w:rFonts w:ascii="Tahoma" w:hAnsi="Tahoma" w:cs="Tahoma"/>
          <w:bCs/>
          <w:color w:val="auto"/>
          <w:sz w:val="20"/>
          <w:szCs w:val="20"/>
        </w:rPr>
        <w:t>(для перевода в т.у.т использовался коэффициент 1,430 (нефть сырая, тонна))</w:t>
      </w:r>
      <w:bookmarkEnd w:id="29"/>
    </w:p>
    <w:p w:rsidR="00890CEF" w:rsidRPr="007A5F5B" w:rsidRDefault="00890CEF" w:rsidP="00321C0C">
      <w:pPr>
        <w:pStyle w:val="2"/>
        <w:numPr>
          <w:ilvl w:val="0"/>
          <w:numId w:val="34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30" w:name="_Toc114837548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Удельные валовые выбросы в атмосферу загрязняющих веществ (SO2, NOx, ЛОВ)</w:t>
      </w:r>
      <w:bookmarkEnd w:id="30"/>
    </w:p>
    <w:p w:rsidR="0074729D" w:rsidRPr="007A5F5B" w:rsidRDefault="008E5096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В 2021</w:t>
      </w:r>
      <w:r w:rsidR="00ED1373" w:rsidRPr="007A5F5B">
        <w:rPr>
          <w:rFonts w:ascii="Tahoma" w:hAnsi="Tahoma" w:cs="Tahoma"/>
          <w:sz w:val="24"/>
          <w:szCs w:val="24"/>
        </w:rPr>
        <w:t xml:space="preserve"> году предприятия </w:t>
      </w:r>
      <w:r w:rsidR="00C839EC" w:rsidRPr="007A5F5B">
        <w:rPr>
          <w:rFonts w:ascii="Tahoma" w:hAnsi="Tahoma" w:cs="Tahoma"/>
          <w:sz w:val="24"/>
          <w:szCs w:val="24"/>
        </w:rPr>
        <w:t xml:space="preserve">ГК </w:t>
      </w:r>
      <w:r w:rsidR="00ED1373" w:rsidRPr="007A5F5B">
        <w:rPr>
          <w:rFonts w:ascii="Tahoma" w:hAnsi="Tahoma" w:cs="Tahoma"/>
          <w:sz w:val="24"/>
          <w:szCs w:val="24"/>
        </w:rPr>
        <w:t>АО «Зарубежнефть» на территории РФ</w:t>
      </w:r>
      <w:r w:rsidR="00463C55" w:rsidRPr="007A5F5B">
        <w:rPr>
          <w:rFonts w:ascii="Tahoma" w:hAnsi="Tahoma" w:cs="Tahoma"/>
          <w:sz w:val="24"/>
          <w:szCs w:val="24"/>
        </w:rPr>
        <w:t xml:space="preserve"> </w:t>
      </w:r>
      <w:r w:rsidR="00B36C9D">
        <w:rPr>
          <w:rFonts w:ascii="Tahoma" w:hAnsi="Tahoma" w:cs="Tahoma"/>
          <w:sz w:val="24"/>
          <w:szCs w:val="24"/>
        </w:rPr>
        <w:t>у</w:t>
      </w:r>
      <w:r w:rsidR="00463C55" w:rsidRPr="007A5F5B">
        <w:rPr>
          <w:rFonts w:ascii="Tahoma" w:hAnsi="Tahoma" w:cs="Tahoma"/>
          <w:sz w:val="24"/>
          <w:szCs w:val="24"/>
        </w:rPr>
        <w:t>дельное</w:t>
      </w:r>
      <w:r w:rsidR="00E667D3" w:rsidRPr="007A5F5B">
        <w:rPr>
          <w:rFonts w:ascii="Tahoma" w:hAnsi="Tahoma" w:cs="Tahoma"/>
          <w:sz w:val="24"/>
          <w:szCs w:val="24"/>
        </w:rPr>
        <w:t xml:space="preserve"> количество выбросов </w:t>
      </w:r>
      <w:r w:rsidR="00B36C9D">
        <w:rPr>
          <w:rFonts w:ascii="Tahoma" w:hAnsi="Tahoma" w:cs="Tahoma"/>
          <w:sz w:val="24"/>
          <w:szCs w:val="24"/>
        </w:rPr>
        <w:t xml:space="preserve">составило </w:t>
      </w:r>
      <w:r w:rsidR="00E667D3" w:rsidRPr="007A5F5B">
        <w:rPr>
          <w:rFonts w:ascii="Tahoma" w:hAnsi="Tahoma" w:cs="Tahoma"/>
          <w:sz w:val="24"/>
          <w:szCs w:val="24"/>
        </w:rPr>
        <w:t xml:space="preserve">– </w:t>
      </w:r>
      <w:r w:rsidR="00886A67">
        <w:rPr>
          <w:rFonts w:ascii="Tahoma" w:hAnsi="Tahoma" w:cs="Tahoma"/>
          <w:sz w:val="24"/>
          <w:szCs w:val="24"/>
        </w:rPr>
        <w:t>0</w:t>
      </w:r>
      <w:r w:rsidR="00E667D3" w:rsidRPr="007A5F5B">
        <w:rPr>
          <w:rFonts w:ascii="Tahoma" w:hAnsi="Tahoma" w:cs="Tahoma"/>
          <w:sz w:val="24"/>
          <w:szCs w:val="24"/>
        </w:rPr>
        <w:t>,</w:t>
      </w:r>
      <w:r w:rsidR="00886A67">
        <w:rPr>
          <w:rFonts w:ascii="Tahoma" w:hAnsi="Tahoma" w:cs="Tahoma"/>
          <w:sz w:val="24"/>
          <w:szCs w:val="24"/>
        </w:rPr>
        <w:t>88</w:t>
      </w:r>
      <w:r w:rsidR="00E667D3" w:rsidRPr="007A5F5B">
        <w:rPr>
          <w:rFonts w:ascii="Tahoma" w:hAnsi="Tahoma" w:cs="Tahoma"/>
          <w:sz w:val="24"/>
          <w:szCs w:val="24"/>
        </w:rPr>
        <w:t xml:space="preserve"> кг/т.у.т.</w:t>
      </w:r>
    </w:p>
    <w:p w:rsidR="00890CEF" w:rsidRPr="007A5F5B" w:rsidRDefault="00890CEF" w:rsidP="00321C0C">
      <w:pPr>
        <w:pStyle w:val="2"/>
        <w:numPr>
          <w:ilvl w:val="0"/>
          <w:numId w:val="34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31" w:name="_Toc114837549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Удельные валовые выбросы в атмосферу парниковых газов</w:t>
      </w:r>
      <w:r w:rsidR="00C35A4F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 (Scope 1 + Scope 2)</w:t>
      </w:r>
      <w:bookmarkEnd w:id="31"/>
    </w:p>
    <w:p w:rsidR="00E667D3" w:rsidRPr="007A5F5B" w:rsidRDefault="00C217C7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В 2021</w:t>
      </w:r>
      <w:r w:rsidR="00E667D3" w:rsidRPr="007A5F5B">
        <w:rPr>
          <w:rFonts w:ascii="Tahoma" w:hAnsi="Tahoma" w:cs="Tahoma"/>
          <w:sz w:val="24"/>
          <w:szCs w:val="24"/>
        </w:rPr>
        <w:t xml:space="preserve"> году </w:t>
      </w:r>
      <w:r w:rsidR="009A5634">
        <w:rPr>
          <w:rFonts w:ascii="Tahoma" w:hAnsi="Tahoma" w:cs="Tahoma"/>
          <w:sz w:val="24"/>
          <w:szCs w:val="24"/>
        </w:rPr>
        <w:t>расчет выбросов парниковых газов не проводился. Первый расчет будет произведен за 2022 год.</w:t>
      </w:r>
    </w:p>
    <w:p w:rsidR="00890CEF" w:rsidRPr="007A5F5B" w:rsidRDefault="00890CEF" w:rsidP="00321C0C">
      <w:pPr>
        <w:pStyle w:val="2"/>
        <w:numPr>
          <w:ilvl w:val="0"/>
          <w:numId w:val="34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32" w:name="_Toc114837550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Уровень утилизации попутного нефтяного газа (ПНГ)</w:t>
      </w:r>
      <w:bookmarkEnd w:id="32"/>
    </w:p>
    <w:p w:rsidR="00D03788" w:rsidRPr="007A5F5B" w:rsidRDefault="003C25A0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Уровень утилизации попутного нефтяного газ 100%.</w:t>
      </w:r>
    </w:p>
    <w:p w:rsidR="00890CEF" w:rsidRPr="007A5F5B" w:rsidRDefault="00890CEF" w:rsidP="00321C0C">
      <w:pPr>
        <w:pStyle w:val="2"/>
        <w:numPr>
          <w:ilvl w:val="0"/>
          <w:numId w:val="34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33" w:name="_Toc114837551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Удельное водоотведение в поверхностные водоемы загрязненных вод</w:t>
      </w:r>
      <w:bookmarkEnd w:id="33"/>
    </w:p>
    <w:p w:rsidR="0074729D" w:rsidRPr="007A5F5B" w:rsidRDefault="00B81503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Сброс загрязненных стоков на</w:t>
      </w:r>
      <w:r w:rsidR="00E667D3" w:rsidRPr="007A5F5B">
        <w:rPr>
          <w:rFonts w:ascii="Tahoma" w:hAnsi="Tahoma" w:cs="Tahoma"/>
          <w:sz w:val="24"/>
          <w:szCs w:val="24"/>
        </w:rPr>
        <w:t xml:space="preserve"> предприятия</w:t>
      </w:r>
      <w:r w:rsidRPr="007A5F5B">
        <w:rPr>
          <w:rFonts w:ascii="Tahoma" w:hAnsi="Tahoma" w:cs="Tahoma"/>
          <w:sz w:val="24"/>
          <w:szCs w:val="24"/>
        </w:rPr>
        <w:t>х</w:t>
      </w:r>
      <w:r w:rsidR="00E667D3" w:rsidRPr="007A5F5B">
        <w:rPr>
          <w:rFonts w:ascii="Tahoma" w:hAnsi="Tahoma" w:cs="Tahoma"/>
          <w:sz w:val="24"/>
          <w:szCs w:val="24"/>
        </w:rPr>
        <w:t xml:space="preserve"> </w:t>
      </w:r>
      <w:r w:rsidR="003C25A0">
        <w:rPr>
          <w:rFonts w:ascii="Tahoma" w:hAnsi="Tahoma" w:cs="Tahoma"/>
          <w:sz w:val="24"/>
          <w:szCs w:val="24"/>
        </w:rPr>
        <w:t xml:space="preserve">ГК </w:t>
      </w:r>
      <w:r w:rsidR="00E667D3" w:rsidRPr="007A5F5B">
        <w:rPr>
          <w:rFonts w:ascii="Tahoma" w:hAnsi="Tahoma" w:cs="Tahoma"/>
          <w:sz w:val="24"/>
          <w:szCs w:val="24"/>
        </w:rPr>
        <w:t>АО «Зарубежнеф</w:t>
      </w:r>
      <w:r w:rsidR="003C25A0">
        <w:rPr>
          <w:rFonts w:ascii="Tahoma" w:hAnsi="Tahoma" w:cs="Tahoma"/>
          <w:sz w:val="24"/>
          <w:szCs w:val="24"/>
        </w:rPr>
        <w:t>ть»</w:t>
      </w:r>
      <w:r w:rsidRPr="007A5F5B">
        <w:rPr>
          <w:rFonts w:ascii="Tahoma" w:hAnsi="Tahoma" w:cs="Tahoma"/>
          <w:sz w:val="24"/>
          <w:szCs w:val="24"/>
        </w:rPr>
        <w:t xml:space="preserve"> не осуществляется</w:t>
      </w:r>
      <w:r w:rsidR="00E667D3" w:rsidRPr="007A5F5B">
        <w:rPr>
          <w:rFonts w:ascii="Tahoma" w:hAnsi="Tahoma" w:cs="Tahoma"/>
          <w:sz w:val="24"/>
          <w:szCs w:val="24"/>
        </w:rPr>
        <w:t>.</w:t>
      </w:r>
      <w:r w:rsidR="003C25A0">
        <w:rPr>
          <w:rFonts w:ascii="Tahoma" w:hAnsi="Tahoma" w:cs="Tahoma"/>
          <w:sz w:val="24"/>
          <w:szCs w:val="24"/>
        </w:rPr>
        <w:t xml:space="preserve"> Водоотведение в поверхностные водные объекты отсутствует. Водоотведение на объектах СП ООО «Андижанпетро» осуществляется только в подземные горизонты.</w:t>
      </w:r>
    </w:p>
    <w:p w:rsidR="00890CEF" w:rsidRPr="007A5F5B" w:rsidRDefault="00890CEF" w:rsidP="00321C0C">
      <w:pPr>
        <w:pStyle w:val="2"/>
        <w:numPr>
          <w:ilvl w:val="0"/>
          <w:numId w:val="34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34" w:name="_Toc114837552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Удельное водопотребление на собственные нужды компании</w:t>
      </w:r>
      <w:bookmarkEnd w:id="34"/>
    </w:p>
    <w:p w:rsidR="00191979" w:rsidRPr="007A5F5B" w:rsidRDefault="00A3040E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В 2021</w:t>
      </w:r>
      <w:r w:rsidR="00191979" w:rsidRPr="007A5F5B">
        <w:rPr>
          <w:rFonts w:ascii="Tahoma" w:hAnsi="Tahoma" w:cs="Tahoma"/>
          <w:sz w:val="24"/>
          <w:szCs w:val="24"/>
        </w:rPr>
        <w:t xml:space="preserve"> году собственные нужды</w:t>
      </w:r>
      <w:r w:rsidR="0069661F" w:rsidRPr="007A5F5B">
        <w:rPr>
          <w:rFonts w:ascii="Tahoma" w:hAnsi="Tahoma" w:cs="Tahoma"/>
          <w:sz w:val="24"/>
          <w:szCs w:val="24"/>
        </w:rPr>
        <w:t xml:space="preserve"> удельное водопотребление</w:t>
      </w:r>
      <w:r w:rsidR="00B36C9D">
        <w:rPr>
          <w:rFonts w:ascii="Tahoma" w:hAnsi="Tahoma" w:cs="Tahoma"/>
          <w:sz w:val="24"/>
          <w:szCs w:val="24"/>
        </w:rPr>
        <w:t xml:space="preserve"> составило</w:t>
      </w:r>
      <w:r w:rsidR="0069661F" w:rsidRPr="007A5F5B">
        <w:rPr>
          <w:rFonts w:ascii="Tahoma" w:hAnsi="Tahoma" w:cs="Tahoma"/>
          <w:sz w:val="24"/>
          <w:szCs w:val="24"/>
        </w:rPr>
        <w:t xml:space="preserve"> – </w:t>
      </w:r>
      <w:r w:rsidR="00874B69">
        <w:rPr>
          <w:rFonts w:ascii="Tahoma" w:hAnsi="Tahoma" w:cs="Tahoma"/>
          <w:sz w:val="24"/>
          <w:szCs w:val="24"/>
        </w:rPr>
        <w:br/>
      </w:r>
      <w:r w:rsidR="005C4873" w:rsidRPr="007A5F5B">
        <w:rPr>
          <w:rFonts w:ascii="Tahoma" w:hAnsi="Tahoma" w:cs="Tahoma"/>
          <w:sz w:val="24"/>
          <w:szCs w:val="24"/>
        </w:rPr>
        <w:t>0</w:t>
      </w:r>
      <w:r w:rsidR="0069661F" w:rsidRPr="007A5F5B">
        <w:rPr>
          <w:rFonts w:ascii="Tahoma" w:hAnsi="Tahoma" w:cs="Tahoma"/>
          <w:sz w:val="24"/>
          <w:szCs w:val="24"/>
        </w:rPr>
        <w:t>,</w:t>
      </w:r>
      <w:r w:rsidR="003C25A0">
        <w:rPr>
          <w:rFonts w:ascii="Tahoma" w:hAnsi="Tahoma" w:cs="Tahoma"/>
          <w:sz w:val="24"/>
          <w:szCs w:val="24"/>
        </w:rPr>
        <w:t>08</w:t>
      </w:r>
      <w:r w:rsidR="00191979" w:rsidRPr="007A5F5B">
        <w:rPr>
          <w:rFonts w:ascii="Tahoma" w:hAnsi="Tahoma" w:cs="Tahoma"/>
          <w:sz w:val="24"/>
          <w:szCs w:val="24"/>
        </w:rPr>
        <w:t xml:space="preserve"> м</w:t>
      </w:r>
      <w:r w:rsidR="00191979" w:rsidRPr="007A5F5B">
        <w:rPr>
          <w:rFonts w:ascii="Tahoma" w:hAnsi="Tahoma" w:cs="Tahoma"/>
          <w:sz w:val="24"/>
          <w:szCs w:val="24"/>
          <w:vertAlign w:val="superscript"/>
        </w:rPr>
        <w:t>3</w:t>
      </w:r>
      <w:r w:rsidR="00191979" w:rsidRPr="007A5F5B">
        <w:rPr>
          <w:rFonts w:ascii="Tahoma" w:hAnsi="Tahoma" w:cs="Tahoma"/>
          <w:sz w:val="24"/>
          <w:szCs w:val="24"/>
        </w:rPr>
        <w:t>/т.у.т.</w:t>
      </w:r>
    </w:p>
    <w:p w:rsidR="002E2B21" w:rsidRPr="007A5F5B" w:rsidRDefault="002E2B21" w:rsidP="00321C0C">
      <w:pPr>
        <w:pStyle w:val="2"/>
        <w:numPr>
          <w:ilvl w:val="0"/>
          <w:numId w:val="34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35" w:name="_Toc114837553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Доля утилизированных и обезвреженных отходов (1-4 класс)</w:t>
      </w:r>
      <w:bookmarkEnd w:id="35"/>
    </w:p>
    <w:p w:rsidR="00890CEF" w:rsidRPr="007A5F5B" w:rsidRDefault="00890CEF" w:rsidP="00DD2956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Отношение суммы утилизированных и обезвреженных отходов (включая отходы, утилизированные и обезвреженные сторонними организациями), к количеству отходов, находящихся в обращении (количество отходов на начало года + количество отходов, образовавшихся за год + количество отходов, поступивших от других предприятий)</w:t>
      </w:r>
      <w:r w:rsidR="00F8567E" w:rsidRPr="007A5F5B">
        <w:rPr>
          <w:rFonts w:ascii="Tahoma" w:hAnsi="Tahoma" w:cs="Tahoma"/>
          <w:sz w:val="24"/>
          <w:szCs w:val="24"/>
        </w:rPr>
        <w:t>.</w:t>
      </w:r>
    </w:p>
    <w:p w:rsidR="00D904D7" w:rsidRPr="007A5F5B" w:rsidRDefault="00D904D7" w:rsidP="00DD2956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В связи со снижением темпов бурения в 2021 г. удельные показатели об</w:t>
      </w:r>
      <w:r w:rsidR="00874B69">
        <w:rPr>
          <w:rFonts w:ascii="Tahoma" w:hAnsi="Tahoma" w:cs="Tahoma"/>
          <w:sz w:val="24"/>
          <w:szCs w:val="24"/>
        </w:rPr>
        <w:t>разования отходов снизились на 0,004</w:t>
      </w:r>
      <w:r w:rsidRPr="007A5F5B">
        <w:rPr>
          <w:rFonts w:ascii="Tahoma" w:hAnsi="Tahoma" w:cs="Tahoma"/>
          <w:sz w:val="24"/>
          <w:szCs w:val="24"/>
        </w:rPr>
        <w:t xml:space="preserve"> т/тыс. т. добытой нефти. В составе образующихся отходов большую часть по массе </w:t>
      </w:r>
      <w:r w:rsidR="00B36C9D">
        <w:rPr>
          <w:rFonts w:ascii="Tahoma" w:hAnsi="Tahoma" w:cs="Tahoma"/>
          <w:sz w:val="24"/>
          <w:szCs w:val="24"/>
        </w:rPr>
        <w:t xml:space="preserve">(до 90%) </w:t>
      </w:r>
      <w:r w:rsidRPr="007A5F5B">
        <w:rPr>
          <w:rFonts w:ascii="Tahoma" w:hAnsi="Tahoma" w:cs="Tahoma"/>
          <w:sz w:val="24"/>
          <w:szCs w:val="24"/>
        </w:rPr>
        <w:t>составляют отходы 4 класса опасности (малоопасные) – строительные отходы.</w:t>
      </w:r>
    </w:p>
    <w:p w:rsidR="00D904D7" w:rsidRPr="007A5F5B" w:rsidRDefault="00D904D7" w:rsidP="005D663F">
      <w:pPr>
        <w:spacing w:before="120" w:after="240" w:line="240" w:lineRule="auto"/>
        <w:jc w:val="center"/>
        <w:rPr>
          <w:rFonts w:ascii="Tahoma" w:eastAsia="Calibri" w:hAnsi="Tahoma" w:cs="Tahoma"/>
          <w:sz w:val="24"/>
          <w:szCs w:val="24"/>
        </w:rPr>
      </w:pPr>
    </w:p>
    <w:p w:rsidR="00FC497E" w:rsidRPr="007A5F5B" w:rsidRDefault="00CC31BE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Все образованны</w:t>
      </w:r>
      <w:r w:rsidR="00FC497E" w:rsidRPr="007A5F5B">
        <w:rPr>
          <w:rFonts w:ascii="Tahoma" w:hAnsi="Tahoma" w:cs="Tahoma"/>
          <w:sz w:val="24"/>
          <w:szCs w:val="24"/>
        </w:rPr>
        <w:t xml:space="preserve">е отходы переданы </w:t>
      </w:r>
      <w:r w:rsidR="0084101A" w:rsidRPr="007A5F5B">
        <w:rPr>
          <w:rFonts w:ascii="Tahoma" w:hAnsi="Tahoma" w:cs="Tahoma"/>
          <w:sz w:val="24"/>
          <w:szCs w:val="24"/>
        </w:rPr>
        <w:t>на утилизацию лицензированным</w:t>
      </w:r>
      <w:r w:rsidR="00FC497E" w:rsidRPr="007A5F5B">
        <w:rPr>
          <w:rFonts w:ascii="Tahoma" w:hAnsi="Tahoma" w:cs="Tahoma"/>
          <w:sz w:val="24"/>
          <w:szCs w:val="24"/>
        </w:rPr>
        <w:t xml:space="preserve"> предприятиям.</w:t>
      </w:r>
    </w:p>
    <w:p w:rsidR="002E2B21" w:rsidRDefault="002E2B21" w:rsidP="00321C0C">
      <w:pPr>
        <w:pStyle w:val="2"/>
        <w:numPr>
          <w:ilvl w:val="0"/>
          <w:numId w:val="34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36" w:name="_Toc114837554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Доля утилизированных и обезвреженных отходов (1-4 класс) без учета исторического наследия</w:t>
      </w:r>
      <w:bookmarkEnd w:id="36"/>
    </w:p>
    <w:p w:rsidR="006C73DE" w:rsidRPr="00874B69" w:rsidRDefault="00874B69" w:rsidP="00874B69">
      <w:pPr>
        <w:ind w:firstLine="709"/>
        <w:rPr>
          <w:rFonts w:ascii="Tahoma" w:hAnsi="Tahoma" w:cs="Tahoma"/>
          <w:sz w:val="24"/>
          <w:szCs w:val="24"/>
        </w:rPr>
      </w:pPr>
      <w:r w:rsidRPr="00874B69">
        <w:rPr>
          <w:rFonts w:ascii="Tahoma" w:hAnsi="Tahoma" w:cs="Tahoma"/>
          <w:sz w:val="24"/>
          <w:szCs w:val="24"/>
        </w:rPr>
        <w:t>100% образовавшихся отходов передана на утилизацию.</w:t>
      </w:r>
    </w:p>
    <w:p w:rsidR="002E2B21" w:rsidRPr="007A5F5B" w:rsidRDefault="00C35A4F" w:rsidP="00321C0C">
      <w:pPr>
        <w:pStyle w:val="2"/>
        <w:numPr>
          <w:ilvl w:val="0"/>
          <w:numId w:val="34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37" w:name="_Toc114837555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Отношение площади загрязненных земель на конец отчетного года к площади загрязненных земель на конец года, предшествующего отчетному</w:t>
      </w:r>
      <w:bookmarkEnd w:id="37"/>
    </w:p>
    <w:p w:rsidR="00E34850" w:rsidRPr="007A5F5B" w:rsidRDefault="00E34850" w:rsidP="00413DC7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bookmarkStart w:id="38" w:name="_Toc83729423"/>
      <w:bookmarkStart w:id="39" w:name="_Toc114837556"/>
      <w:r w:rsidRPr="007A5F5B">
        <w:rPr>
          <w:rFonts w:ascii="Tahoma" w:hAnsi="Tahoma" w:cs="Tahoma"/>
          <w:sz w:val="24"/>
          <w:szCs w:val="24"/>
        </w:rPr>
        <w:t>Площади нефетзагрязненных земель на балансе предприятия отсутствуют.</w:t>
      </w:r>
      <w:bookmarkEnd w:id="38"/>
      <w:bookmarkEnd w:id="39"/>
    </w:p>
    <w:p w:rsidR="00E34850" w:rsidRPr="007A5F5B" w:rsidRDefault="00E34850" w:rsidP="00321C0C">
      <w:pPr>
        <w:pStyle w:val="2"/>
        <w:numPr>
          <w:ilvl w:val="0"/>
          <w:numId w:val="34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40" w:name="_Toc114837557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Отношение площади рекультивированных загрязненных земель в течение года к площади загрязненных земель в течение года</w:t>
      </w:r>
      <w:bookmarkEnd w:id="40"/>
    </w:p>
    <w:p w:rsidR="00E34850" w:rsidRPr="007A5F5B" w:rsidRDefault="00E34850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Инциденты с экологическим</w:t>
      </w:r>
      <w:r w:rsidR="00FD4047" w:rsidRPr="007A5F5B">
        <w:rPr>
          <w:rFonts w:ascii="Tahoma" w:hAnsi="Tahoma" w:cs="Tahoma"/>
          <w:sz w:val="24"/>
          <w:szCs w:val="24"/>
        </w:rPr>
        <w:t>и</w:t>
      </w:r>
      <w:r w:rsidR="00481AD9" w:rsidRPr="007A5F5B">
        <w:rPr>
          <w:rFonts w:ascii="Tahoma" w:hAnsi="Tahoma" w:cs="Tahoma"/>
          <w:sz w:val="24"/>
          <w:szCs w:val="24"/>
        </w:rPr>
        <w:t xml:space="preserve"> последствиями в 2021 году отсутствуют</w:t>
      </w:r>
      <w:r w:rsidRPr="007A5F5B">
        <w:rPr>
          <w:rFonts w:ascii="Tahoma" w:hAnsi="Tahoma" w:cs="Tahoma"/>
          <w:sz w:val="24"/>
          <w:szCs w:val="24"/>
        </w:rPr>
        <w:t>.</w:t>
      </w:r>
    </w:p>
    <w:p w:rsidR="00E34850" w:rsidRPr="007A5F5B" w:rsidRDefault="00E34850" w:rsidP="00321C0C">
      <w:pPr>
        <w:pStyle w:val="2"/>
        <w:numPr>
          <w:ilvl w:val="0"/>
          <w:numId w:val="34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41" w:name="_Toc114837558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Удельная частота инцидентов на трубопроводах, приведших к разливам нефти, конденсата, нефтепродуктов и пластовых вод</w:t>
      </w:r>
      <w:bookmarkEnd w:id="41"/>
    </w:p>
    <w:p w:rsidR="00E34850" w:rsidRPr="007A5F5B" w:rsidRDefault="00481AD9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bookmarkStart w:id="42" w:name="_Toc83729426"/>
      <w:r w:rsidRPr="007A5F5B">
        <w:rPr>
          <w:rFonts w:ascii="Tahoma" w:hAnsi="Tahoma" w:cs="Tahoma"/>
          <w:sz w:val="24"/>
          <w:szCs w:val="24"/>
        </w:rPr>
        <w:t>В 2021</w:t>
      </w:r>
      <w:r w:rsidR="00E34850" w:rsidRPr="007A5F5B">
        <w:rPr>
          <w:rFonts w:ascii="Tahoma" w:hAnsi="Tahoma" w:cs="Tahoma"/>
          <w:sz w:val="24"/>
          <w:szCs w:val="24"/>
        </w:rPr>
        <w:t xml:space="preserve"> г</w:t>
      </w:r>
      <w:r w:rsidR="005B7AFA" w:rsidRPr="007A5F5B">
        <w:rPr>
          <w:rFonts w:ascii="Tahoma" w:hAnsi="Tahoma" w:cs="Tahoma"/>
          <w:sz w:val="24"/>
          <w:szCs w:val="24"/>
        </w:rPr>
        <w:t>оду</w:t>
      </w:r>
      <w:r w:rsidR="00E34850" w:rsidRPr="007A5F5B">
        <w:rPr>
          <w:rFonts w:ascii="Tahoma" w:hAnsi="Tahoma" w:cs="Tahoma"/>
          <w:sz w:val="24"/>
          <w:szCs w:val="24"/>
        </w:rPr>
        <w:t xml:space="preserve"> инцидентов, повлекших за собой разливы нефти, не зафиксировано.</w:t>
      </w:r>
      <w:bookmarkEnd w:id="42"/>
    </w:p>
    <w:p w:rsidR="00890CEF" w:rsidRPr="007A5F5B" w:rsidRDefault="00890CEF" w:rsidP="00321C0C">
      <w:pPr>
        <w:pStyle w:val="2"/>
        <w:numPr>
          <w:ilvl w:val="0"/>
          <w:numId w:val="34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43" w:name="_Toc114837559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Удельное количество разлитой нефти, конденсата и нефтепродуктов в результате аварий и порывов</w:t>
      </w:r>
      <w:bookmarkEnd w:id="43"/>
    </w:p>
    <w:p w:rsidR="00FE4356" w:rsidRPr="007A5F5B" w:rsidRDefault="00FE4356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Инциденты с э</w:t>
      </w:r>
      <w:r w:rsidR="005601F0" w:rsidRPr="007A5F5B">
        <w:rPr>
          <w:rFonts w:ascii="Tahoma" w:hAnsi="Tahoma" w:cs="Tahoma"/>
          <w:sz w:val="24"/>
          <w:szCs w:val="24"/>
        </w:rPr>
        <w:t>к</w:t>
      </w:r>
      <w:r w:rsidR="00481AD9" w:rsidRPr="007A5F5B">
        <w:rPr>
          <w:rFonts w:ascii="Tahoma" w:hAnsi="Tahoma" w:cs="Tahoma"/>
          <w:sz w:val="24"/>
          <w:szCs w:val="24"/>
        </w:rPr>
        <w:t>ологическим последствиями в 2021 году отсутствуют</w:t>
      </w:r>
      <w:r w:rsidRPr="007A5F5B">
        <w:rPr>
          <w:rFonts w:ascii="Tahoma" w:hAnsi="Tahoma" w:cs="Tahoma"/>
          <w:sz w:val="24"/>
          <w:szCs w:val="24"/>
        </w:rPr>
        <w:t>.</w:t>
      </w:r>
    </w:p>
    <w:p w:rsidR="00890CEF" w:rsidRPr="00BF6F3E" w:rsidRDefault="00890CEF" w:rsidP="00321C0C">
      <w:pPr>
        <w:pStyle w:val="2"/>
        <w:numPr>
          <w:ilvl w:val="0"/>
          <w:numId w:val="34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44" w:name="_Toc114837560"/>
      <w:r w:rsidRPr="00BF6F3E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Доля сверхнормативных платежей в общем объеме платы за негативное воздействие на ОС (отношение экологических платежей за сверхнормативные выбросы, сбросы, за размещение отходов к экологическим платежам, всего за отчетный год)</w:t>
      </w:r>
      <w:bookmarkEnd w:id="44"/>
    </w:p>
    <w:p w:rsidR="00481AD9" w:rsidRPr="007A5F5B" w:rsidRDefault="005D713B" w:rsidP="00DD2956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Размер</w:t>
      </w:r>
      <w:r w:rsidR="00481AD9" w:rsidRPr="007A5F5B">
        <w:rPr>
          <w:rFonts w:ascii="Tahoma" w:hAnsi="Tahoma" w:cs="Tahoma"/>
          <w:sz w:val="24"/>
          <w:szCs w:val="24"/>
        </w:rPr>
        <w:t xml:space="preserve"> платежей за негативное воздейс</w:t>
      </w:r>
      <w:r>
        <w:rPr>
          <w:rFonts w:ascii="Tahoma" w:hAnsi="Tahoma" w:cs="Tahoma"/>
          <w:sz w:val="24"/>
          <w:szCs w:val="24"/>
        </w:rPr>
        <w:t>твие в отчетном году составил 753</w:t>
      </w:r>
      <w:r w:rsidR="00481AD9" w:rsidRPr="007A5F5B">
        <w:rPr>
          <w:rFonts w:ascii="Tahoma" w:hAnsi="Tahoma" w:cs="Tahoma"/>
          <w:sz w:val="24"/>
          <w:szCs w:val="24"/>
        </w:rPr>
        <w:t xml:space="preserve"> тыс. руб.</w:t>
      </w:r>
    </w:p>
    <w:p w:rsidR="00343CAA" w:rsidRPr="007A5F5B" w:rsidRDefault="00343CAA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C73A7C" w:rsidRPr="007A5F5B" w:rsidRDefault="000E0414" w:rsidP="000E0414">
      <w:pPr>
        <w:pStyle w:val="1"/>
        <w:numPr>
          <w:ilvl w:val="0"/>
          <w:numId w:val="31"/>
        </w:numPr>
        <w:spacing w:after="240" w:line="240" w:lineRule="auto"/>
        <w:ind w:left="1276" w:hanging="567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45" w:name="_Toc114837561"/>
      <w:r w:rsidRPr="007A5F5B">
        <w:rPr>
          <w:rFonts w:ascii="Tahoma" w:hAnsi="Tahoma" w:cs="Tahoma"/>
          <w:b/>
          <w:bCs/>
          <w:color w:val="auto"/>
          <w:sz w:val="24"/>
          <w:szCs w:val="24"/>
        </w:rPr>
        <w:lastRenderedPageBreak/>
        <w:t>РАСКРЫТИЕ ИНФОРМАЦИИ / ПРОЗРАЧНОСТЬ</w:t>
      </w:r>
      <w:bookmarkEnd w:id="45"/>
    </w:p>
    <w:p w:rsidR="00C73A7C" w:rsidRPr="007A5F5B" w:rsidRDefault="00C73A7C" w:rsidP="005B7AFA">
      <w:pPr>
        <w:pStyle w:val="2"/>
        <w:numPr>
          <w:ilvl w:val="0"/>
          <w:numId w:val="35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46" w:name="_Toc114837562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Наличие нефинансовой отчетности в области устойчивого развития либо экологического отчета в соответствии с требованиями международных организаций (например, GRI, IPIECA)</w:t>
      </w:r>
      <w:bookmarkEnd w:id="46"/>
    </w:p>
    <w:p w:rsidR="00B62AF4" w:rsidRPr="007A5F5B" w:rsidRDefault="00B62AF4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Интегрированный о</w:t>
      </w:r>
      <w:r w:rsidR="00CB3446" w:rsidRPr="007A5F5B">
        <w:rPr>
          <w:rFonts w:ascii="Tahoma" w:hAnsi="Tahoma" w:cs="Tahoma"/>
          <w:sz w:val="24"/>
          <w:szCs w:val="24"/>
        </w:rPr>
        <w:t>тчет ГК АО «Зарубежнефть» подготовлен в соответствии с Руководством GRI G4 (core)</w:t>
      </w:r>
      <w:r w:rsidR="005D713B">
        <w:rPr>
          <w:rFonts w:ascii="Tahoma" w:hAnsi="Tahoma" w:cs="Tahoma"/>
          <w:sz w:val="24"/>
          <w:szCs w:val="24"/>
        </w:rPr>
        <w:t>.</w:t>
      </w:r>
    </w:p>
    <w:p w:rsidR="00890CEF" w:rsidRPr="007A5F5B" w:rsidRDefault="00890CEF" w:rsidP="00D2393F">
      <w:pPr>
        <w:pStyle w:val="2"/>
        <w:numPr>
          <w:ilvl w:val="0"/>
          <w:numId w:val="35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47" w:name="_Toc114837563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Внешнее подтверждение (заверение) нефинансовой отчетности</w:t>
      </w:r>
      <w:bookmarkEnd w:id="47"/>
    </w:p>
    <w:p w:rsidR="00CB3446" w:rsidRPr="007A5F5B" w:rsidRDefault="00B62AF4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Интегрированный отчет</w:t>
      </w:r>
      <w:r w:rsidR="00ED1373" w:rsidRPr="007A5F5B">
        <w:rPr>
          <w:rFonts w:ascii="Tahoma" w:hAnsi="Tahoma" w:cs="Tahoma"/>
          <w:sz w:val="24"/>
          <w:szCs w:val="24"/>
        </w:rPr>
        <w:t xml:space="preserve"> АО «Зарубежнефть» </w:t>
      </w:r>
      <w:r w:rsidR="00AE588E" w:rsidRPr="007A5F5B">
        <w:rPr>
          <w:rFonts w:ascii="Tahoma" w:hAnsi="Tahoma" w:cs="Tahoma"/>
          <w:sz w:val="24"/>
          <w:szCs w:val="24"/>
        </w:rPr>
        <w:t>за 2021 год не проходил</w:t>
      </w:r>
      <w:r w:rsidR="00ED1373" w:rsidRPr="007A5F5B">
        <w:rPr>
          <w:rFonts w:ascii="Tahoma" w:hAnsi="Tahoma" w:cs="Tahoma"/>
          <w:sz w:val="24"/>
          <w:szCs w:val="24"/>
        </w:rPr>
        <w:t xml:space="preserve"> заверение в РСПП</w:t>
      </w:r>
      <w:r w:rsidR="00AE588E" w:rsidRPr="007A5F5B">
        <w:rPr>
          <w:rFonts w:ascii="Tahoma" w:hAnsi="Tahoma" w:cs="Tahoma"/>
          <w:sz w:val="24"/>
          <w:szCs w:val="24"/>
        </w:rPr>
        <w:t xml:space="preserve"> в связи с решением руководства компании</w:t>
      </w:r>
      <w:r w:rsidR="00ED1373" w:rsidRPr="007A5F5B">
        <w:rPr>
          <w:rFonts w:ascii="Tahoma" w:hAnsi="Tahoma" w:cs="Tahoma"/>
          <w:sz w:val="24"/>
          <w:szCs w:val="24"/>
        </w:rPr>
        <w:t>.</w:t>
      </w:r>
    </w:p>
    <w:p w:rsidR="00890CEF" w:rsidRPr="007A5F5B" w:rsidRDefault="00890CEF" w:rsidP="00D2393F">
      <w:pPr>
        <w:pStyle w:val="2"/>
        <w:numPr>
          <w:ilvl w:val="0"/>
          <w:numId w:val="35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48" w:name="_Toc114837564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Доступность в публичном пространстве документации по оценке воздействия на окружающую среду (например, ОВОС) в течение жизненного цикла проекта для действующих проектов, требующих прохождения государственной экологической экспертизы (ГЭЭ)</w:t>
      </w:r>
      <w:bookmarkEnd w:id="48"/>
    </w:p>
    <w:p w:rsidR="00ED1373" w:rsidRPr="00BF6F3E" w:rsidRDefault="00ED1373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BF6F3E">
        <w:rPr>
          <w:rFonts w:ascii="Tahoma" w:hAnsi="Tahoma" w:cs="Tahoma"/>
          <w:sz w:val="24"/>
          <w:szCs w:val="24"/>
        </w:rPr>
        <w:t>Материалы О</w:t>
      </w:r>
      <w:r w:rsidR="0051354E" w:rsidRPr="00BF6F3E">
        <w:rPr>
          <w:rFonts w:ascii="Tahoma" w:hAnsi="Tahoma" w:cs="Tahoma"/>
          <w:sz w:val="24"/>
          <w:szCs w:val="24"/>
        </w:rPr>
        <w:t>ВОС размещены на сайте компании:</w:t>
      </w:r>
    </w:p>
    <w:p w:rsidR="00ED1373" w:rsidRPr="007A5F5B" w:rsidRDefault="00C5560A" w:rsidP="009D3A9F">
      <w:pPr>
        <w:spacing w:before="120" w:after="12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C5560A">
        <w:rPr>
          <w:rFonts w:ascii="Tahoma" w:hAnsi="Tahoma" w:cs="Tahoma"/>
          <w:sz w:val="24"/>
          <w:szCs w:val="24"/>
          <w:u w:val="single"/>
        </w:rPr>
        <w:t>https://www.nestro.ru/media/filer_public/e7/0e/e70e019d-e41a-4a7c-9467-72eb0d654e63/___30_05_2019__.pdf</w:t>
      </w:r>
    </w:p>
    <w:p w:rsidR="00890CEF" w:rsidRPr="007A5F5B" w:rsidRDefault="00890CEF" w:rsidP="00D2393F">
      <w:pPr>
        <w:pStyle w:val="2"/>
        <w:numPr>
          <w:ilvl w:val="0"/>
          <w:numId w:val="35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49" w:name="_Toc114837565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Доступность в публичном пространстве ПЛАРН и ПЛА (в части воздействия на окружающую среду) для общественности с обязательным размещением</w:t>
      </w:r>
      <w:bookmarkEnd w:id="49"/>
    </w:p>
    <w:p w:rsidR="00ED1373" w:rsidRPr="007A5F5B" w:rsidRDefault="00ED1373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ПЛА</w:t>
      </w:r>
      <w:r w:rsidR="0051354E" w:rsidRPr="007A5F5B">
        <w:rPr>
          <w:rFonts w:ascii="Tahoma" w:hAnsi="Tahoma" w:cs="Tahoma"/>
          <w:sz w:val="24"/>
          <w:szCs w:val="24"/>
        </w:rPr>
        <w:t xml:space="preserve"> </w:t>
      </w:r>
      <w:r w:rsidR="00C5560A">
        <w:rPr>
          <w:rFonts w:ascii="Tahoma" w:hAnsi="Tahoma" w:cs="Tahoma"/>
          <w:sz w:val="24"/>
          <w:szCs w:val="24"/>
        </w:rPr>
        <w:t xml:space="preserve">разработанные для объектов добычи нефти СП ООО «Андижанпетро» </w:t>
      </w:r>
      <w:r w:rsidR="0051354E" w:rsidRPr="007A5F5B">
        <w:rPr>
          <w:rFonts w:ascii="Tahoma" w:hAnsi="Tahoma" w:cs="Tahoma"/>
          <w:sz w:val="24"/>
          <w:szCs w:val="24"/>
        </w:rPr>
        <w:t>опубликованы на сайте компании:</w:t>
      </w:r>
    </w:p>
    <w:p w:rsidR="00ED1373" w:rsidRPr="007A5F5B" w:rsidRDefault="00C5560A" w:rsidP="009D3A9F">
      <w:pPr>
        <w:spacing w:before="120" w:after="120"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C5560A">
        <w:rPr>
          <w:rFonts w:ascii="Tahoma" w:hAnsi="Tahoma" w:cs="Tahoma"/>
          <w:sz w:val="24"/>
          <w:szCs w:val="24"/>
          <w:u w:val="single"/>
        </w:rPr>
        <w:t>https://www.nestro.ru/media/filer_public/ef/e0/efe0c084-2596-4613-877e-7d98888f3bd6/___.pdf</w:t>
      </w:r>
    </w:p>
    <w:p w:rsidR="00890CEF" w:rsidRPr="007A5F5B" w:rsidRDefault="00890CEF" w:rsidP="00D2393F">
      <w:pPr>
        <w:pStyle w:val="2"/>
        <w:numPr>
          <w:ilvl w:val="0"/>
          <w:numId w:val="35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50" w:name="_Toc114837566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Информирование общественности на сайте компании об авариях и инцидентах</w:t>
      </w:r>
      <w:r w:rsidR="00645B26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,</w:t>
      </w:r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 и мерах по ликвидации их последствий со значительным (вызвавшим общественный резонанс) социально-экологическим ущербом, включая деятельность компаний подрядчиков</w:t>
      </w:r>
      <w:bookmarkEnd w:id="50"/>
    </w:p>
    <w:p w:rsidR="00CB3446" w:rsidRPr="007A5F5B" w:rsidRDefault="00221960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В 2021</w:t>
      </w:r>
      <w:r w:rsidR="00ED1373" w:rsidRPr="007A5F5B">
        <w:rPr>
          <w:rFonts w:ascii="Tahoma" w:hAnsi="Tahoma" w:cs="Tahoma"/>
          <w:sz w:val="24"/>
          <w:szCs w:val="24"/>
        </w:rPr>
        <w:t xml:space="preserve"> году чрезвычайных ситуаций </w:t>
      </w:r>
      <w:r w:rsidR="00176D32">
        <w:rPr>
          <w:rFonts w:ascii="Tahoma" w:hAnsi="Tahoma" w:cs="Tahoma"/>
          <w:sz w:val="24"/>
          <w:szCs w:val="24"/>
        </w:rPr>
        <w:t xml:space="preserve">на производственных объектах компании </w:t>
      </w:r>
      <w:r w:rsidR="00ED1373" w:rsidRPr="007A5F5B">
        <w:rPr>
          <w:rFonts w:ascii="Tahoma" w:hAnsi="Tahoma" w:cs="Tahoma"/>
          <w:sz w:val="24"/>
          <w:szCs w:val="24"/>
        </w:rPr>
        <w:t>не происходили.</w:t>
      </w:r>
    </w:p>
    <w:p w:rsidR="00890CEF" w:rsidRPr="007A5F5B" w:rsidRDefault="00890CEF" w:rsidP="00D2393F">
      <w:pPr>
        <w:pStyle w:val="2"/>
        <w:numPr>
          <w:ilvl w:val="0"/>
          <w:numId w:val="35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51" w:name="_Toc114837567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Информирование общественности на сайте компании о наличии спорных экологических ситуаций</w:t>
      </w:r>
      <w:r w:rsidR="00CB3446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 </w:t>
      </w:r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и действиях, направленных на их разрешение, на территориях присутствия компании, включая деятельность компаний подрядчиков</w:t>
      </w:r>
      <w:bookmarkEnd w:id="51"/>
    </w:p>
    <w:p w:rsidR="00CB3446" w:rsidRPr="007A5F5B" w:rsidRDefault="007660B2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Спорные</w:t>
      </w:r>
      <w:r w:rsidR="00ED1373" w:rsidRPr="007A5F5B">
        <w:rPr>
          <w:rFonts w:ascii="Tahoma" w:hAnsi="Tahoma" w:cs="Tahoma"/>
          <w:sz w:val="24"/>
          <w:szCs w:val="24"/>
        </w:rPr>
        <w:t xml:space="preserve"> экологические ситуации за отчетный период отсутствуют</w:t>
      </w:r>
      <w:r w:rsidR="00F8567E" w:rsidRPr="007A5F5B">
        <w:rPr>
          <w:rFonts w:ascii="Tahoma" w:hAnsi="Tahoma" w:cs="Tahoma"/>
          <w:sz w:val="24"/>
          <w:szCs w:val="24"/>
        </w:rPr>
        <w:t>.</w:t>
      </w:r>
    </w:p>
    <w:p w:rsidR="00890CEF" w:rsidRPr="007A5F5B" w:rsidRDefault="00890CEF" w:rsidP="00D2393F">
      <w:pPr>
        <w:pStyle w:val="2"/>
        <w:numPr>
          <w:ilvl w:val="0"/>
          <w:numId w:val="35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52" w:name="_Toc114837568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lastRenderedPageBreak/>
        <w:t>Наличие установленного порядка работы с обращениями граждан</w:t>
      </w:r>
      <w:bookmarkEnd w:id="52"/>
    </w:p>
    <w:p w:rsidR="00ED1373" w:rsidRPr="007A5F5B" w:rsidRDefault="00ED1373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Контакты доступны, </w:t>
      </w:r>
      <w:r w:rsidR="00FE4356" w:rsidRPr="007A5F5B">
        <w:rPr>
          <w:rFonts w:ascii="Tahoma" w:hAnsi="Tahoma" w:cs="Tahoma"/>
          <w:sz w:val="24"/>
          <w:szCs w:val="24"/>
        </w:rPr>
        <w:t xml:space="preserve">имеется </w:t>
      </w:r>
      <w:r w:rsidRPr="007A5F5B">
        <w:rPr>
          <w:rFonts w:ascii="Tahoma" w:hAnsi="Tahoma" w:cs="Tahoma"/>
          <w:sz w:val="24"/>
          <w:szCs w:val="24"/>
        </w:rPr>
        <w:t>горячая линия</w:t>
      </w:r>
      <w:r w:rsidR="00AB4DF2" w:rsidRPr="007A5F5B">
        <w:rPr>
          <w:rFonts w:ascii="Tahoma" w:hAnsi="Tahoma" w:cs="Tahoma"/>
          <w:sz w:val="24"/>
          <w:szCs w:val="24"/>
        </w:rPr>
        <w:t xml:space="preserve"> на сайте компании</w:t>
      </w:r>
      <w:r w:rsidR="0051354E" w:rsidRPr="007A5F5B">
        <w:rPr>
          <w:rFonts w:ascii="Tahoma" w:hAnsi="Tahoma" w:cs="Tahoma"/>
          <w:sz w:val="24"/>
          <w:szCs w:val="24"/>
        </w:rPr>
        <w:t>:</w:t>
      </w:r>
    </w:p>
    <w:p w:rsidR="00ED1373" w:rsidRPr="007A5F5B" w:rsidRDefault="005B169D" w:rsidP="009D3A9F">
      <w:pPr>
        <w:spacing w:before="120" w:after="120" w:line="240" w:lineRule="auto"/>
        <w:jc w:val="both"/>
        <w:rPr>
          <w:rStyle w:val="a8"/>
          <w:rFonts w:ascii="Tahoma" w:hAnsi="Tahoma" w:cs="Tahoma"/>
          <w:color w:val="auto"/>
          <w:sz w:val="24"/>
          <w:szCs w:val="24"/>
        </w:rPr>
      </w:pPr>
      <w:hyperlink r:id="rId17" w:history="1">
        <w:r w:rsidR="00ED1373" w:rsidRPr="007A5F5B">
          <w:rPr>
            <w:rStyle w:val="a8"/>
            <w:rFonts w:ascii="Tahoma" w:hAnsi="Tahoma" w:cs="Tahoma"/>
            <w:color w:val="auto"/>
            <w:sz w:val="24"/>
            <w:szCs w:val="24"/>
          </w:rPr>
          <w:t>http://www.nestro.ru/ru/ustoichivoe_razvitie/goryachaya-liniya-bezopasnosti-oao-zarubezhneft/</w:t>
        </w:r>
      </w:hyperlink>
    </w:p>
    <w:p w:rsidR="00890CEF" w:rsidRPr="007A5F5B" w:rsidRDefault="00890CEF" w:rsidP="00D2393F">
      <w:pPr>
        <w:pStyle w:val="2"/>
        <w:numPr>
          <w:ilvl w:val="0"/>
          <w:numId w:val="35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53" w:name="_Toc114837569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Доступность документированной информации (с количественными результатами, отражающими состояние и динамику) производственного экологического мониторинга для общественности с обязательным размещением в публичном пространстве</w:t>
      </w:r>
      <w:bookmarkEnd w:id="53"/>
    </w:p>
    <w:p w:rsidR="00ED1373" w:rsidRPr="007A5F5B" w:rsidRDefault="005B169D" w:rsidP="009D3A9F">
      <w:pPr>
        <w:pStyle w:val="ad"/>
        <w:spacing w:before="120" w:after="120" w:line="240" w:lineRule="auto"/>
        <w:ind w:left="0"/>
        <w:contextualSpacing w:val="0"/>
        <w:jc w:val="both"/>
        <w:rPr>
          <w:rStyle w:val="a8"/>
          <w:rFonts w:ascii="Tahoma" w:hAnsi="Tahoma" w:cs="Tahoma"/>
          <w:color w:val="auto"/>
          <w:sz w:val="24"/>
          <w:szCs w:val="24"/>
        </w:rPr>
      </w:pPr>
      <w:hyperlink r:id="rId18" w:history="1"/>
    </w:p>
    <w:p w:rsidR="00C35A4F" w:rsidRPr="007A5F5B" w:rsidRDefault="00C35A4F" w:rsidP="00D2393F">
      <w:pPr>
        <w:pStyle w:val="2"/>
        <w:numPr>
          <w:ilvl w:val="0"/>
          <w:numId w:val="35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54" w:name="_Toc83729438"/>
      <w:bookmarkStart w:id="55" w:name="_Toc114837570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>Доступность информации по доле/протяженности трубопроводов, эксплуатируемых компанией сверх нормативного срока службы</w:t>
      </w:r>
      <w:bookmarkEnd w:id="54"/>
      <w:bookmarkEnd w:id="55"/>
    </w:p>
    <w:p w:rsidR="00AD3922" w:rsidRDefault="00E654AB" w:rsidP="00DD2956">
      <w:pPr>
        <w:pStyle w:val="ad"/>
        <w:tabs>
          <w:tab w:val="left" w:pos="284"/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ahoma" w:eastAsiaTheme="majorEastAsia" w:hAnsi="Tahoma" w:cs="Tahoma"/>
          <w:sz w:val="24"/>
          <w:szCs w:val="24"/>
        </w:rPr>
      </w:pPr>
      <w:r w:rsidRPr="00E654AB">
        <w:rPr>
          <w:rFonts w:ascii="Tahoma" w:eastAsiaTheme="majorEastAsia" w:hAnsi="Tahoma" w:cs="Tahoma"/>
          <w:sz w:val="24"/>
          <w:szCs w:val="24"/>
        </w:rPr>
        <w:t>Все 100% трубопроводов эксплуатируются без превышения, установленного проектом или экспертными организациями срока нормативной эксплуатации. С целью определения технического состояния внутрипромысловых трубопроводов и подтверждения срока нормативной эксплуатации трубопроводной системы компания ежегодно в соответствии с графиками проводит техническое освидетельствование и экспертизу промышленной безопасности.</w:t>
      </w:r>
    </w:p>
    <w:p w:rsidR="00400B8F" w:rsidRDefault="00400B8F" w:rsidP="00DD2956">
      <w:pPr>
        <w:pStyle w:val="ad"/>
        <w:tabs>
          <w:tab w:val="left" w:pos="284"/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ahoma" w:eastAsiaTheme="majorEastAsia" w:hAnsi="Tahoma" w:cs="Tahoma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09"/>
      </w:tblGrid>
      <w:tr w:rsidR="00400B8F" w:rsidTr="00400B8F">
        <w:tc>
          <w:tcPr>
            <w:tcW w:w="704" w:type="dxa"/>
          </w:tcPr>
          <w:p w:rsidR="00400B8F" w:rsidRPr="00400B8F" w:rsidRDefault="00400B8F" w:rsidP="00DD2956">
            <w:pPr>
              <w:pStyle w:val="ad"/>
              <w:tabs>
                <w:tab w:val="left" w:pos="284"/>
                <w:tab w:val="left" w:pos="567"/>
              </w:tabs>
              <w:spacing w:after="0" w:line="360" w:lineRule="auto"/>
              <w:ind w:left="0"/>
              <w:contextualSpacing w:val="0"/>
              <w:jc w:val="both"/>
              <w:rPr>
                <w:rFonts w:ascii="Tahoma" w:eastAsiaTheme="majorEastAsia" w:hAnsi="Tahoma" w:cs="Tahoma"/>
                <w:b/>
                <w:sz w:val="20"/>
                <w:szCs w:val="20"/>
              </w:rPr>
            </w:pPr>
            <w:r w:rsidRPr="00400B8F">
              <w:rPr>
                <w:rFonts w:ascii="Tahoma" w:eastAsiaTheme="majorEastAsia" w:hAnsi="Tahoma" w:cs="Tahoma"/>
                <w:b/>
                <w:sz w:val="20"/>
                <w:szCs w:val="20"/>
              </w:rPr>
              <w:t>№ п/п</w:t>
            </w:r>
          </w:p>
        </w:tc>
        <w:tc>
          <w:tcPr>
            <w:tcW w:w="5714" w:type="dxa"/>
          </w:tcPr>
          <w:p w:rsidR="00400B8F" w:rsidRPr="00886A67" w:rsidRDefault="00400B8F" w:rsidP="00DD2956">
            <w:pPr>
              <w:pStyle w:val="ad"/>
              <w:tabs>
                <w:tab w:val="left" w:pos="284"/>
                <w:tab w:val="left" w:pos="567"/>
              </w:tabs>
              <w:spacing w:after="0" w:line="360" w:lineRule="auto"/>
              <w:ind w:left="0"/>
              <w:contextualSpacing w:val="0"/>
              <w:jc w:val="both"/>
              <w:rPr>
                <w:rFonts w:ascii="Tahoma" w:eastAsiaTheme="majorEastAsia" w:hAnsi="Tahoma" w:cs="Tahoma"/>
                <w:b/>
                <w:sz w:val="20"/>
                <w:szCs w:val="20"/>
              </w:rPr>
            </w:pPr>
            <w:r w:rsidRPr="00400B8F">
              <w:rPr>
                <w:rFonts w:ascii="Tahoma" w:eastAsiaTheme="majorEastAsia" w:hAnsi="Tahoma" w:cs="Tahoma"/>
                <w:b/>
                <w:sz w:val="20"/>
                <w:szCs w:val="20"/>
              </w:rPr>
              <w:t xml:space="preserve">Наименование </w:t>
            </w:r>
            <w:r w:rsidR="003B1B27">
              <w:rPr>
                <w:rFonts w:ascii="Tahoma" w:eastAsiaTheme="majorEastAsia" w:hAnsi="Tahoma" w:cs="Tahoma"/>
                <w:b/>
                <w:sz w:val="20"/>
                <w:szCs w:val="20"/>
              </w:rPr>
              <w:t>объекта</w:t>
            </w:r>
          </w:p>
        </w:tc>
        <w:tc>
          <w:tcPr>
            <w:tcW w:w="3209" w:type="dxa"/>
          </w:tcPr>
          <w:p w:rsidR="00400B8F" w:rsidRPr="00400B8F" w:rsidRDefault="00400B8F" w:rsidP="00DD2956">
            <w:pPr>
              <w:pStyle w:val="ad"/>
              <w:tabs>
                <w:tab w:val="left" w:pos="284"/>
                <w:tab w:val="left" w:pos="567"/>
              </w:tabs>
              <w:spacing w:after="0" w:line="360" w:lineRule="auto"/>
              <w:ind w:left="0"/>
              <w:contextualSpacing w:val="0"/>
              <w:jc w:val="both"/>
              <w:rPr>
                <w:rFonts w:ascii="Tahoma" w:eastAsiaTheme="majorEastAsia" w:hAnsi="Tahoma" w:cs="Tahoma"/>
                <w:b/>
                <w:sz w:val="20"/>
                <w:szCs w:val="20"/>
              </w:rPr>
            </w:pPr>
            <w:r w:rsidRPr="00400B8F">
              <w:rPr>
                <w:rFonts w:ascii="Tahoma" w:eastAsiaTheme="majorEastAsia" w:hAnsi="Tahoma" w:cs="Tahoma"/>
                <w:b/>
                <w:sz w:val="20"/>
                <w:szCs w:val="20"/>
              </w:rPr>
              <w:t>Суммарная длинна трубопроводов, м</w:t>
            </w:r>
          </w:p>
        </w:tc>
      </w:tr>
      <w:tr w:rsidR="00400B8F" w:rsidTr="00400B8F">
        <w:tc>
          <w:tcPr>
            <w:tcW w:w="704" w:type="dxa"/>
          </w:tcPr>
          <w:p w:rsidR="00400B8F" w:rsidRPr="00400B8F" w:rsidRDefault="00400B8F" w:rsidP="00DD2956">
            <w:pPr>
              <w:pStyle w:val="ad"/>
              <w:tabs>
                <w:tab w:val="left" w:pos="284"/>
                <w:tab w:val="left" w:pos="567"/>
              </w:tabs>
              <w:spacing w:after="0" w:line="360" w:lineRule="auto"/>
              <w:ind w:left="0"/>
              <w:contextualSpacing w:val="0"/>
              <w:jc w:val="both"/>
              <w:rPr>
                <w:rFonts w:ascii="Tahoma" w:eastAsiaTheme="majorEastAsia" w:hAnsi="Tahoma" w:cs="Tahoma"/>
                <w:sz w:val="20"/>
                <w:szCs w:val="20"/>
              </w:rPr>
            </w:pPr>
            <w:r w:rsidRPr="00400B8F">
              <w:rPr>
                <w:rFonts w:ascii="Tahoma" w:eastAsiaTheme="majorEastAsia" w:hAnsi="Tahoma" w:cs="Tahoma"/>
                <w:sz w:val="20"/>
                <w:szCs w:val="20"/>
              </w:rPr>
              <w:t>1</w:t>
            </w:r>
          </w:p>
        </w:tc>
        <w:tc>
          <w:tcPr>
            <w:tcW w:w="5714" w:type="dxa"/>
          </w:tcPr>
          <w:p w:rsidR="00400B8F" w:rsidRPr="00400B8F" w:rsidRDefault="00400B8F" w:rsidP="00DD2956">
            <w:pPr>
              <w:pStyle w:val="ad"/>
              <w:tabs>
                <w:tab w:val="left" w:pos="284"/>
                <w:tab w:val="left" w:pos="567"/>
              </w:tabs>
              <w:spacing w:after="0" w:line="360" w:lineRule="auto"/>
              <w:ind w:left="0"/>
              <w:contextualSpacing w:val="0"/>
              <w:jc w:val="both"/>
              <w:rPr>
                <w:rFonts w:ascii="Tahoma" w:eastAsiaTheme="majorEastAsia" w:hAnsi="Tahoma" w:cs="Tahoma"/>
                <w:sz w:val="20"/>
                <w:szCs w:val="20"/>
              </w:rPr>
            </w:pPr>
            <w:r w:rsidRPr="00400B8F">
              <w:rPr>
                <w:rFonts w:ascii="Tahoma" w:eastAsiaTheme="majorEastAsia" w:hAnsi="Tahoma" w:cs="Tahoma"/>
                <w:sz w:val="20"/>
                <w:szCs w:val="20"/>
              </w:rPr>
              <w:t>ЦДНГ</w:t>
            </w:r>
          </w:p>
        </w:tc>
        <w:tc>
          <w:tcPr>
            <w:tcW w:w="3209" w:type="dxa"/>
          </w:tcPr>
          <w:p w:rsidR="00400B8F" w:rsidRPr="00400B8F" w:rsidRDefault="00400B8F" w:rsidP="00DD2956">
            <w:pPr>
              <w:pStyle w:val="ad"/>
              <w:tabs>
                <w:tab w:val="left" w:pos="284"/>
                <w:tab w:val="left" w:pos="567"/>
              </w:tabs>
              <w:spacing w:after="0" w:line="360" w:lineRule="auto"/>
              <w:ind w:left="0"/>
              <w:contextualSpacing w:val="0"/>
              <w:jc w:val="both"/>
              <w:rPr>
                <w:rFonts w:ascii="Tahoma" w:eastAsiaTheme="majorEastAsia" w:hAnsi="Tahoma" w:cs="Tahoma"/>
                <w:sz w:val="20"/>
                <w:szCs w:val="20"/>
              </w:rPr>
            </w:pPr>
            <w:r w:rsidRPr="00400B8F">
              <w:rPr>
                <w:rFonts w:ascii="Tahoma" w:eastAsiaTheme="majorEastAsia" w:hAnsi="Tahoma" w:cs="Tahoma"/>
                <w:sz w:val="20"/>
                <w:szCs w:val="20"/>
                <w:lang w:val="en-US"/>
              </w:rPr>
              <w:t>44 367</w:t>
            </w:r>
          </w:p>
        </w:tc>
      </w:tr>
      <w:tr w:rsidR="00400B8F" w:rsidTr="00400B8F">
        <w:tc>
          <w:tcPr>
            <w:tcW w:w="704" w:type="dxa"/>
          </w:tcPr>
          <w:p w:rsidR="00400B8F" w:rsidRPr="00400B8F" w:rsidRDefault="00400B8F" w:rsidP="00DD2956">
            <w:pPr>
              <w:pStyle w:val="ad"/>
              <w:tabs>
                <w:tab w:val="left" w:pos="284"/>
                <w:tab w:val="left" w:pos="567"/>
              </w:tabs>
              <w:spacing w:after="0" w:line="360" w:lineRule="auto"/>
              <w:ind w:left="0"/>
              <w:contextualSpacing w:val="0"/>
              <w:jc w:val="both"/>
              <w:rPr>
                <w:rFonts w:ascii="Tahoma" w:eastAsiaTheme="majorEastAsia" w:hAnsi="Tahoma" w:cs="Tahoma"/>
                <w:sz w:val="20"/>
                <w:szCs w:val="20"/>
              </w:rPr>
            </w:pPr>
            <w:r w:rsidRPr="00400B8F">
              <w:rPr>
                <w:rFonts w:ascii="Tahoma" w:eastAsiaTheme="majorEastAsia" w:hAnsi="Tahoma" w:cs="Tahoma"/>
                <w:sz w:val="20"/>
                <w:szCs w:val="20"/>
              </w:rPr>
              <w:t>2</w:t>
            </w:r>
          </w:p>
        </w:tc>
        <w:tc>
          <w:tcPr>
            <w:tcW w:w="5714" w:type="dxa"/>
          </w:tcPr>
          <w:p w:rsidR="00400B8F" w:rsidRPr="00400B8F" w:rsidRDefault="00400B8F" w:rsidP="00DD2956">
            <w:pPr>
              <w:pStyle w:val="ad"/>
              <w:tabs>
                <w:tab w:val="left" w:pos="284"/>
                <w:tab w:val="left" w:pos="567"/>
              </w:tabs>
              <w:spacing w:after="0" w:line="360" w:lineRule="auto"/>
              <w:ind w:left="0"/>
              <w:contextualSpacing w:val="0"/>
              <w:jc w:val="both"/>
              <w:rPr>
                <w:rFonts w:ascii="Tahoma" w:eastAsiaTheme="majorEastAsia" w:hAnsi="Tahoma" w:cs="Tahoma"/>
                <w:sz w:val="20"/>
                <w:szCs w:val="20"/>
              </w:rPr>
            </w:pPr>
            <w:r w:rsidRPr="00400B8F">
              <w:rPr>
                <w:rFonts w:ascii="Tahoma" w:eastAsiaTheme="majorEastAsia" w:hAnsi="Tahoma" w:cs="Tahoma"/>
                <w:sz w:val="20"/>
                <w:szCs w:val="20"/>
                <w:lang w:val="en-US"/>
              </w:rPr>
              <w:t>Южный Аламышик</w:t>
            </w:r>
          </w:p>
        </w:tc>
        <w:tc>
          <w:tcPr>
            <w:tcW w:w="3209" w:type="dxa"/>
          </w:tcPr>
          <w:p w:rsidR="00400B8F" w:rsidRPr="00400B8F" w:rsidRDefault="00400B8F" w:rsidP="00DD2956">
            <w:pPr>
              <w:pStyle w:val="ad"/>
              <w:tabs>
                <w:tab w:val="left" w:pos="284"/>
                <w:tab w:val="left" w:pos="567"/>
              </w:tabs>
              <w:spacing w:after="0" w:line="360" w:lineRule="auto"/>
              <w:ind w:left="0"/>
              <w:contextualSpacing w:val="0"/>
              <w:jc w:val="both"/>
              <w:rPr>
                <w:rFonts w:ascii="Tahoma" w:eastAsiaTheme="majorEastAsia" w:hAnsi="Tahoma" w:cs="Tahoma"/>
                <w:sz w:val="20"/>
                <w:szCs w:val="20"/>
              </w:rPr>
            </w:pPr>
            <w:r w:rsidRPr="00400B8F">
              <w:rPr>
                <w:rFonts w:ascii="Tahoma" w:eastAsiaTheme="majorEastAsia" w:hAnsi="Tahoma" w:cs="Tahoma"/>
                <w:sz w:val="20"/>
                <w:szCs w:val="20"/>
                <w:lang w:val="en-US"/>
              </w:rPr>
              <w:t>32 062</w:t>
            </w:r>
          </w:p>
        </w:tc>
      </w:tr>
      <w:tr w:rsidR="00400B8F" w:rsidTr="00400B8F">
        <w:tc>
          <w:tcPr>
            <w:tcW w:w="704" w:type="dxa"/>
          </w:tcPr>
          <w:p w:rsidR="00400B8F" w:rsidRPr="00400B8F" w:rsidRDefault="00400B8F" w:rsidP="00DD2956">
            <w:pPr>
              <w:pStyle w:val="ad"/>
              <w:tabs>
                <w:tab w:val="left" w:pos="284"/>
                <w:tab w:val="left" w:pos="567"/>
              </w:tabs>
              <w:spacing w:after="0" w:line="360" w:lineRule="auto"/>
              <w:ind w:left="0"/>
              <w:contextualSpacing w:val="0"/>
              <w:jc w:val="both"/>
              <w:rPr>
                <w:rFonts w:ascii="Tahoma" w:eastAsiaTheme="majorEastAsia" w:hAnsi="Tahoma" w:cs="Tahoma"/>
                <w:sz w:val="20"/>
                <w:szCs w:val="20"/>
              </w:rPr>
            </w:pPr>
            <w:r w:rsidRPr="00400B8F">
              <w:rPr>
                <w:rFonts w:ascii="Tahoma" w:eastAsiaTheme="majorEastAsia" w:hAnsi="Tahoma" w:cs="Tahoma"/>
                <w:sz w:val="20"/>
                <w:szCs w:val="20"/>
              </w:rPr>
              <w:t>3</w:t>
            </w:r>
          </w:p>
        </w:tc>
        <w:tc>
          <w:tcPr>
            <w:tcW w:w="5714" w:type="dxa"/>
          </w:tcPr>
          <w:p w:rsidR="00400B8F" w:rsidRPr="00400B8F" w:rsidRDefault="00400B8F" w:rsidP="00DD2956">
            <w:pPr>
              <w:pStyle w:val="ad"/>
              <w:tabs>
                <w:tab w:val="left" w:pos="284"/>
                <w:tab w:val="left" w:pos="567"/>
              </w:tabs>
              <w:spacing w:after="0" w:line="360" w:lineRule="auto"/>
              <w:ind w:left="0"/>
              <w:contextualSpacing w:val="0"/>
              <w:jc w:val="both"/>
              <w:rPr>
                <w:rFonts w:ascii="Tahoma" w:eastAsiaTheme="majorEastAsia" w:hAnsi="Tahoma" w:cs="Tahoma"/>
                <w:sz w:val="20"/>
                <w:szCs w:val="20"/>
              </w:rPr>
            </w:pPr>
            <w:r w:rsidRPr="00400B8F">
              <w:rPr>
                <w:rFonts w:ascii="Tahoma" w:eastAsiaTheme="majorEastAsia" w:hAnsi="Tahoma" w:cs="Tahoma"/>
                <w:sz w:val="20"/>
                <w:szCs w:val="20"/>
              </w:rPr>
              <w:t>Сборные трубопроводы Южный Аламышик</w:t>
            </w:r>
          </w:p>
        </w:tc>
        <w:tc>
          <w:tcPr>
            <w:tcW w:w="3209" w:type="dxa"/>
          </w:tcPr>
          <w:p w:rsidR="00400B8F" w:rsidRPr="00400B8F" w:rsidRDefault="00400B8F" w:rsidP="00DD2956">
            <w:pPr>
              <w:pStyle w:val="ad"/>
              <w:tabs>
                <w:tab w:val="left" w:pos="284"/>
                <w:tab w:val="left" w:pos="567"/>
              </w:tabs>
              <w:spacing w:after="0" w:line="360" w:lineRule="auto"/>
              <w:ind w:left="0"/>
              <w:contextualSpacing w:val="0"/>
              <w:jc w:val="both"/>
              <w:rPr>
                <w:rFonts w:ascii="Tahoma" w:eastAsiaTheme="majorEastAsia" w:hAnsi="Tahoma" w:cs="Tahoma"/>
                <w:sz w:val="20"/>
                <w:szCs w:val="20"/>
              </w:rPr>
            </w:pPr>
            <w:r w:rsidRPr="00400B8F">
              <w:rPr>
                <w:rFonts w:ascii="Tahoma" w:eastAsiaTheme="majorEastAsia" w:hAnsi="Tahoma" w:cs="Tahoma"/>
                <w:sz w:val="20"/>
                <w:szCs w:val="20"/>
              </w:rPr>
              <w:t>21 671</w:t>
            </w:r>
          </w:p>
        </w:tc>
      </w:tr>
    </w:tbl>
    <w:p w:rsidR="00400B8F" w:rsidRDefault="00400B8F" w:rsidP="00DD2956">
      <w:pPr>
        <w:pStyle w:val="ad"/>
        <w:tabs>
          <w:tab w:val="left" w:pos="284"/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ahoma" w:eastAsiaTheme="majorEastAsia" w:hAnsi="Tahoma" w:cs="Tahoma"/>
          <w:sz w:val="24"/>
          <w:szCs w:val="24"/>
        </w:rPr>
      </w:pPr>
    </w:p>
    <w:p w:rsidR="00FC497E" w:rsidRPr="007A5F5B" w:rsidRDefault="000E0414" w:rsidP="000E0414">
      <w:pPr>
        <w:pStyle w:val="1"/>
        <w:numPr>
          <w:ilvl w:val="0"/>
          <w:numId w:val="31"/>
        </w:numPr>
        <w:spacing w:after="240" w:line="240" w:lineRule="auto"/>
        <w:ind w:left="1276" w:hanging="567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56" w:name="_Toc114837571"/>
      <w:r w:rsidRPr="007A5F5B">
        <w:rPr>
          <w:rFonts w:ascii="Tahoma" w:hAnsi="Tahoma" w:cs="Tahoma"/>
          <w:b/>
          <w:bCs/>
          <w:color w:val="auto"/>
          <w:sz w:val="24"/>
          <w:szCs w:val="24"/>
        </w:rPr>
        <w:t>ТЕСТОВЫЙ РЕЖИМ В 2022 ГОДУ</w:t>
      </w:r>
      <w:bookmarkEnd w:id="56"/>
    </w:p>
    <w:p w:rsidR="004B27DA" w:rsidRPr="007A5F5B" w:rsidRDefault="00645B26" w:rsidP="005824DC">
      <w:pPr>
        <w:pStyle w:val="2"/>
        <w:numPr>
          <w:ilvl w:val="0"/>
          <w:numId w:val="36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57" w:name="_Toc114837572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Критерий в </w:t>
      </w:r>
      <w:r w:rsidR="005824DC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Раздел </w:t>
      </w:r>
      <w:r w:rsidR="005824DC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  <w:lang w:val="en-US"/>
        </w:rPr>
        <w:t>I</w:t>
      </w:r>
      <w:bookmarkEnd w:id="57"/>
    </w:p>
    <w:p w:rsidR="00FC497E" w:rsidRPr="007A5F5B" w:rsidRDefault="00C35A4F" w:rsidP="008F466B">
      <w:pPr>
        <w:pStyle w:val="3"/>
        <w:keepLines/>
        <w:numPr>
          <w:ilvl w:val="0"/>
          <w:numId w:val="38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58" w:name="_Toc114837573"/>
      <w:r w:rsidRPr="007A5F5B">
        <w:rPr>
          <w:rFonts w:ascii="Tahoma" w:hAnsi="Tahoma" w:cs="Tahoma"/>
          <w:sz w:val="24"/>
          <w:szCs w:val="24"/>
        </w:rPr>
        <w:t>Наличие внешней верификации инвентаризации источников выбросов и расчетов выбросов парниковых газов</w:t>
      </w:r>
      <w:bookmarkEnd w:id="58"/>
    </w:p>
    <w:p w:rsidR="0052788B" w:rsidRPr="007A5F5B" w:rsidRDefault="0052788B" w:rsidP="0052788B">
      <w:pPr>
        <w:spacing w:after="0" w:line="36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bookmarkStart w:id="59" w:name="_Toc114837574"/>
      <w:r w:rsidRPr="007A5F5B">
        <w:rPr>
          <w:rFonts w:ascii="Tahoma" w:hAnsi="Tahoma" w:cs="Tahoma"/>
          <w:i/>
          <w:sz w:val="24"/>
          <w:szCs w:val="24"/>
        </w:rPr>
        <w:t xml:space="preserve">Планы </w:t>
      </w:r>
      <w:r w:rsidR="00F311DC">
        <w:rPr>
          <w:rFonts w:ascii="Tahoma" w:hAnsi="Tahoma" w:cs="Tahoma"/>
          <w:i/>
          <w:sz w:val="24"/>
          <w:szCs w:val="24"/>
        </w:rPr>
        <w:t>СП ОО</w:t>
      </w:r>
      <w:r w:rsidRPr="007A5F5B">
        <w:rPr>
          <w:rFonts w:ascii="Tahoma" w:hAnsi="Tahoma" w:cs="Tahoma"/>
          <w:i/>
          <w:sz w:val="24"/>
          <w:szCs w:val="24"/>
        </w:rPr>
        <w:t>О «</w:t>
      </w:r>
      <w:r w:rsidR="00F311DC">
        <w:rPr>
          <w:rFonts w:ascii="Tahoma" w:hAnsi="Tahoma" w:cs="Tahoma"/>
          <w:i/>
          <w:sz w:val="24"/>
          <w:szCs w:val="24"/>
        </w:rPr>
        <w:t>Андижанпетро</w:t>
      </w:r>
      <w:r w:rsidRPr="007A5F5B">
        <w:rPr>
          <w:rFonts w:ascii="Tahoma" w:hAnsi="Tahoma" w:cs="Tahoma"/>
          <w:i/>
          <w:sz w:val="24"/>
          <w:szCs w:val="24"/>
        </w:rPr>
        <w:t>» на краткосрочную и среднесрочную перспективу по направлению устойчивого развития:</w:t>
      </w:r>
    </w:p>
    <w:p w:rsidR="0052788B" w:rsidRPr="007A5F5B" w:rsidRDefault="0052788B" w:rsidP="0052788B">
      <w:pPr>
        <w:pStyle w:val="ad"/>
        <w:numPr>
          <w:ilvl w:val="0"/>
          <w:numId w:val="41"/>
        </w:numPr>
        <w:spacing w:after="0" w:line="360" w:lineRule="auto"/>
        <w:ind w:left="0" w:firstLine="426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завершение</w:t>
      </w:r>
      <w:r w:rsidRPr="007A5F5B">
        <w:rPr>
          <w:rFonts w:ascii="Tahoma" w:hAnsi="Tahoma" w:cs="Tahoma"/>
          <w:sz w:val="24"/>
          <w:szCs w:val="24"/>
        </w:rPr>
        <w:t xml:space="preserve"> инвентаризации объемов выбросов парниковых</w:t>
      </w:r>
      <w:r w:rsidR="0035585E">
        <w:rPr>
          <w:rFonts w:ascii="Tahoma" w:hAnsi="Tahoma" w:cs="Tahoma"/>
          <w:sz w:val="24"/>
          <w:szCs w:val="24"/>
        </w:rPr>
        <w:t xml:space="preserve"> газов на всех объектах</w:t>
      </w:r>
      <w:r w:rsidRPr="007A5F5B">
        <w:rPr>
          <w:rFonts w:ascii="Tahoma" w:hAnsi="Tahoma" w:cs="Tahoma"/>
          <w:sz w:val="24"/>
          <w:szCs w:val="24"/>
        </w:rPr>
        <w:t xml:space="preserve"> с их последующей верификацией, проведение расчета углеродного следа продукции;</w:t>
      </w:r>
    </w:p>
    <w:p w:rsidR="0052788B" w:rsidRPr="007A5F5B" w:rsidRDefault="0052788B" w:rsidP="0052788B">
      <w:pPr>
        <w:pStyle w:val="ad"/>
        <w:numPr>
          <w:ilvl w:val="0"/>
          <w:numId w:val="41"/>
        </w:numPr>
        <w:spacing w:after="0" w:line="360" w:lineRule="auto"/>
        <w:ind w:left="0" w:firstLine="426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lastRenderedPageBreak/>
        <w:t>проведение ESG</w:t>
      </w:r>
      <w:r>
        <w:rPr>
          <w:rFonts w:ascii="Tahoma" w:hAnsi="Tahoma" w:cs="Tahoma"/>
          <w:sz w:val="24"/>
          <w:szCs w:val="24"/>
        </w:rPr>
        <w:t>-</w:t>
      </w:r>
      <w:r w:rsidRPr="007A5F5B">
        <w:rPr>
          <w:rFonts w:ascii="Tahoma" w:hAnsi="Tahoma" w:cs="Tahoma"/>
          <w:sz w:val="24"/>
          <w:szCs w:val="24"/>
        </w:rPr>
        <w:t>диагностики и разработка корпоративной системы управления ESG</w:t>
      </w:r>
      <w:r>
        <w:rPr>
          <w:rFonts w:ascii="Tahoma" w:hAnsi="Tahoma" w:cs="Tahoma"/>
          <w:sz w:val="24"/>
          <w:szCs w:val="24"/>
        </w:rPr>
        <w:t>-</w:t>
      </w:r>
      <w:r w:rsidRPr="007A5F5B">
        <w:rPr>
          <w:rFonts w:ascii="Tahoma" w:hAnsi="Tahoma" w:cs="Tahoma"/>
          <w:sz w:val="24"/>
          <w:szCs w:val="24"/>
        </w:rPr>
        <w:t>факторами;</w:t>
      </w:r>
    </w:p>
    <w:p w:rsidR="0052788B" w:rsidRPr="007A5F5B" w:rsidRDefault="0052788B" w:rsidP="0052788B">
      <w:pPr>
        <w:pStyle w:val="ad"/>
        <w:numPr>
          <w:ilvl w:val="0"/>
          <w:numId w:val="41"/>
        </w:numPr>
        <w:spacing w:after="0" w:line="360" w:lineRule="auto"/>
        <w:ind w:left="0" w:firstLine="426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продолжение работы по выходу на международные рейтинги;</w:t>
      </w:r>
    </w:p>
    <w:p w:rsidR="0052788B" w:rsidRPr="007A5F5B" w:rsidRDefault="0052788B" w:rsidP="0052788B">
      <w:pPr>
        <w:pStyle w:val="ad"/>
        <w:numPr>
          <w:ilvl w:val="0"/>
          <w:numId w:val="41"/>
        </w:numPr>
        <w:spacing w:after="0" w:line="360" w:lineRule="auto"/>
        <w:ind w:left="0" w:firstLine="426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идентификация </w:t>
      </w:r>
      <w:r>
        <w:rPr>
          <w:rFonts w:ascii="Tahoma" w:hAnsi="Tahoma" w:cs="Tahoma"/>
          <w:sz w:val="24"/>
          <w:szCs w:val="24"/>
        </w:rPr>
        <w:t xml:space="preserve">и оценка </w:t>
      </w:r>
      <w:r w:rsidRPr="007A5F5B">
        <w:rPr>
          <w:rFonts w:ascii="Tahoma" w:hAnsi="Tahoma" w:cs="Tahoma"/>
          <w:sz w:val="24"/>
          <w:szCs w:val="24"/>
        </w:rPr>
        <w:t xml:space="preserve">климатических рисков и их интеграция в </w:t>
      </w:r>
      <w:r>
        <w:rPr>
          <w:rFonts w:ascii="Tahoma" w:hAnsi="Tahoma" w:cs="Tahoma"/>
          <w:sz w:val="24"/>
          <w:szCs w:val="24"/>
        </w:rPr>
        <w:t xml:space="preserve">систему </w:t>
      </w:r>
      <w:r w:rsidRPr="007A5F5B">
        <w:rPr>
          <w:rFonts w:ascii="Tahoma" w:hAnsi="Tahoma" w:cs="Tahoma"/>
          <w:sz w:val="24"/>
          <w:szCs w:val="24"/>
        </w:rPr>
        <w:t>риск-менеджмент</w:t>
      </w:r>
      <w:r>
        <w:rPr>
          <w:rFonts w:ascii="Tahoma" w:hAnsi="Tahoma" w:cs="Tahoma"/>
          <w:sz w:val="24"/>
          <w:szCs w:val="24"/>
        </w:rPr>
        <w:t>а</w:t>
      </w:r>
      <w:r w:rsidRPr="007A5F5B">
        <w:rPr>
          <w:rFonts w:ascii="Tahoma" w:hAnsi="Tahoma" w:cs="Tahoma"/>
          <w:sz w:val="24"/>
          <w:szCs w:val="24"/>
        </w:rPr>
        <w:t xml:space="preserve"> Компании</w:t>
      </w:r>
      <w:r>
        <w:rPr>
          <w:rFonts w:ascii="Tahoma" w:hAnsi="Tahoma" w:cs="Tahoma"/>
          <w:sz w:val="24"/>
          <w:szCs w:val="24"/>
        </w:rPr>
        <w:t>. Заключен договор по оценке климатических рисков и формированию климатической политики Компании, политика в настоящее время прошла процедуру внутреннего согласования и в ближайшее время будет вынесена для обсуждения и утверждения на Совет Директоров Компании</w:t>
      </w:r>
      <w:r w:rsidRPr="007A5F5B">
        <w:rPr>
          <w:rFonts w:ascii="Tahoma" w:hAnsi="Tahoma" w:cs="Tahoma"/>
          <w:sz w:val="24"/>
          <w:szCs w:val="24"/>
        </w:rPr>
        <w:t>;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52788B" w:rsidRPr="007A5F5B" w:rsidRDefault="0052788B" w:rsidP="0052788B">
      <w:pPr>
        <w:pStyle w:val="ad"/>
        <w:widowControl w:val="0"/>
        <w:numPr>
          <w:ilvl w:val="0"/>
          <w:numId w:val="41"/>
        </w:numPr>
        <w:spacing w:after="0" w:line="360" w:lineRule="auto"/>
        <w:ind w:left="0" w:firstLine="426"/>
        <w:contextualSpacing w:val="0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разработка Стратегии </w:t>
      </w:r>
      <w:r w:rsidR="0035585E">
        <w:rPr>
          <w:rFonts w:ascii="Tahoma" w:hAnsi="Tahoma" w:cs="Tahoma"/>
          <w:sz w:val="24"/>
          <w:szCs w:val="24"/>
        </w:rPr>
        <w:t xml:space="preserve">ГК </w:t>
      </w:r>
      <w:r w:rsidRPr="007A5F5B">
        <w:rPr>
          <w:rFonts w:ascii="Tahoma" w:hAnsi="Tahoma" w:cs="Tahoma"/>
          <w:sz w:val="24"/>
          <w:szCs w:val="24"/>
        </w:rPr>
        <w:t>АО «Зарубежнефть» в области Устойчивого Развития и Декарбонизации на краткосрочную (до 2030 г.) и долгосрочную (до 2060 г.) перспективу.</w:t>
      </w:r>
    </w:p>
    <w:p w:rsidR="00C35A4F" w:rsidRPr="007A5F5B" w:rsidRDefault="00C35A4F" w:rsidP="005824DC">
      <w:pPr>
        <w:pStyle w:val="2"/>
        <w:numPr>
          <w:ilvl w:val="0"/>
          <w:numId w:val="36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Критерий в </w:t>
      </w:r>
      <w:r w:rsidR="005824DC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Раздел </w:t>
      </w:r>
      <w:r w:rsidR="005824DC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  <w:lang w:val="en-US"/>
        </w:rPr>
        <w:t>II</w:t>
      </w:r>
      <w:bookmarkEnd w:id="59"/>
    </w:p>
    <w:p w:rsidR="00C35A4F" w:rsidRPr="007A5F5B" w:rsidRDefault="00C35A4F" w:rsidP="008F466B">
      <w:pPr>
        <w:pStyle w:val="3"/>
        <w:keepLines/>
        <w:numPr>
          <w:ilvl w:val="0"/>
          <w:numId w:val="39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60" w:name="_Toc114837575"/>
      <w:r w:rsidRPr="007A5F5B">
        <w:rPr>
          <w:rFonts w:ascii="Tahoma" w:hAnsi="Tahoma" w:cs="Tahoma"/>
          <w:sz w:val="24"/>
          <w:szCs w:val="24"/>
        </w:rPr>
        <w:t xml:space="preserve">Оценить доступность информации по воздействию на окружающую среду (критерии </w:t>
      </w:r>
      <w:r w:rsidR="004D0FBD" w:rsidRPr="007A5F5B">
        <w:rPr>
          <w:rFonts w:ascii="Tahoma" w:hAnsi="Tahoma" w:cs="Tahoma"/>
          <w:sz w:val="24"/>
          <w:szCs w:val="24"/>
          <w:lang w:val="en-US"/>
        </w:rPr>
        <w:t>II</w:t>
      </w:r>
      <w:r w:rsidRPr="007A5F5B">
        <w:rPr>
          <w:rFonts w:ascii="Tahoma" w:hAnsi="Tahoma" w:cs="Tahoma"/>
          <w:sz w:val="24"/>
          <w:szCs w:val="24"/>
        </w:rPr>
        <w:t xml:space="preserve"> раздела) в сегменте нефтегазохимии</w:t>
      </w:r>
      <w:bookmarkEnd w:id="60"/>
    </w:p>
    <w:p w:rsidR="00C35A4F" w:rsidRPr="007A5F5B" w:rsidRDefault="007959C3" w:rsidP="00DD2956">
      <w:pPr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На территории Узбекистана</w:t>
      </w:r>
      <w:r w:rsidR="005D1F4F" w:rsidRPr="007A5F5B">
        <w:rPr>
          <w:rFonts w:ascii="Tahoma" w:hAnsi="Tahoma" w:cs="Tahoma"/>
          <w:sz w:val="24"/>
          <w:szCs w:val="24"/>
        </w:rPr>
        <w:t xml:space="preserve"> объекты сегмента нефтегазохимии отсутствуют.</w:t>
      </w:r>
    </w:p>
    <w:p w:rsidR="004B27DA" w:rsidRPr="007A5F5B" w:rsidRDefault="004B27DA" w:rsidP="005824DC">
      <w:pPr>
        <w:pStyle w:val="2"/>
        <w:numPr>
          <w:ilvl w:val="0"/>
          <w:numId w:val="36"/>
        </w:numPr>
        <w:tabs>
          <w:tab w:val="left" w:pos="1276"/>
        </w:tabs>
        <w:spacing w:before="240" w:after="240" w:line="240" w:lineRule="auto"/>
        <w:ind w:left="0" w:firstLine="709"/>
        <w:jc w:val="both"/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</w:pPr>
      <w:bookmarkStart w:id="61" w:name="_Toc114837576"/>
      <w:r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Критерий в </w:t>
      </w:r>
      <w:r w:rsidR="005824DC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</w:rPr>
        <w:t xml:space="preserve">Раздел </w:t>
      </w:r>
      <w:r w:rsidR="005824DC" w:rsidRPr="007A5F5B">
        <w:rPr>
          <w:rFonts w:ascii="Tahoma" w:eastAsia="Times New Roman" w:hAnsi="Tahoma" w:cs="Tahoma"/>
          <w:b/>
          <w:bCs/>
          <w:iCs/>
          <w:color w:val="auto"/>
          <w:sz w:val="24"/>
          <w:szCs w:val="24"/>
          <w:lang w:val="en-US"/>
        </w:rPr>
        <w:t>III</w:t>
      </w:r>
      <w:bookmarkEnd w:id="61"/>
    </w:p>
    <w:p w:rsidR="00BD3B34" w:rsidRPr="007A5F5B" w:rsidRDefault="00C35A4F" w:rsidP="008F466B">
      <w:pPr>
        <w:pStyle w:val="3"/>
        <w:keepLines/>
        <w:numPr>
          <w:ilvl w:val="0"/>
          <w:numId w:val="40"/>
        </w:numPr>
        <w:tabs>
          <w:tab w:val="left" w:pos="1560"/>
        </w:tabs>
        <w:spacing w:after="24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62" w:name="_Toc114837577"/>
      <w:r w:rsidRPr="007A5F5B">
        <w:rPr>
          <w:rFonts w:ascii="Tahoma" w:hAnsi="Tahoma" w:cs="Tahoma"/>
          <w:sz w:val="24"/>
          <w:szCs w:val="24"/>
        </w:rPr>
        <w:t>Доля от общего числа ключевых п</w:t>
      </w:r>
      <w:r w:rsidR="001752E9" w:rsidRPr="007A5F5B">
        <w:rPr>
          <w:rFonts w:ascii="Tahoma" w:hAnsi="Tahoma" w:cs="Tahoma"/>
          <w:sz w:val="24"/>
          <w:szCs w:val="24"/>
        </w:rPr>
        <w:t>редприятий холдинга (ведущих ре</w:t>
      </w:r>
      <w:r w:rsidRPr="007A5F5B">
        <w:rPr>
          <w:rFonts w:ascii="Tahoma" w:hAnsi="Tahoma" w:cs="Tahoma"/>
          <w:sz w:val="24"/>
          <w:szCs w:val="24"/>
        </w:rPr>
        <w:t>альное производство), которые размещают базовы</w:t>
      </w:r>
      <w:r w:rsidR="001752E9" w:rsidRPr="007A5F5B">
        <w:rPr>
          <w:rFonts w:ascii="Tahoma" w:hAnsi="Tahoma" w:cs="Tahoma"/>
          <w:sz w:val="24"/>
          <w:szCs w:val="24"/>
        </w:rPr>
        <w:t>й набор экологиче</w:t>
      </w:r>
      <w:r w:rsidRPr="007A5F5B">
        <w:rPr>
          <w:rFonts w:ascii="Tahoma" w:hAnsi="Tahoma" w:cs="Tahoma"/>
          <w:sz w:val="24"/>
          <w:szCs w:val="24"/>
        </w:rPr>
        <w:t>ских показателей в публичном пространстве (например, на сайтах предприятий или на сайте головной компании). Базовые показатели – показатели 10, 12, 13, 16, 19 проекта Постановления Правительства о перечне ключевых (базовых) показателей публичной нефинансовой отчетности</w:t>
      </w:r>
      <w:bookmarkEnd w:id="62"/>
    </w:p>
    <w:p w:rsidR="00105B04" w:rsidRPr="007A5F5B" w:rsidRDefault="00105B04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>Все 100% трубопроводов эксплуатируются без превышения, установленного проектом или экспертными организациями срока нормативной эксплуатации. С целью определения технического состояния внутрипромысловых трубопроводов и подтверждения срока нормативной эксплуатации трубопроводной системы компания ежегодно в соответствии с графиками проводит техническое освидетельствование и экспер</w:t>
      </w:r>
      <w:r w:rsidR="004F35AA" w:rsidRPr="007A5F5B">
        <w:rPr>
          <w:rFonts w:ascii="Tahoma" w:hAnsi="Tahoma" w:cs="Tahoma"/>
          <w:sz w:val="24"/>
          <w:szCs w:val="24"/>
        </w:rPr>
        <w:t>тизу промышленной безопасности.</w:t>
      </w:r>
    </w:p>
    <w:p w:rsidR="00105B04" w:rsidRPr="007A5F5B" w:rsidRDefault="00105B04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Для исключения повреждений от внутренней коррозии трубопроводы оснащены системами контроля коррозии, в Компании постоянно контролируется скорость коррозии и разрабатываются мероприятия для ее снижения. Для снижения коррозионной активности сред в трубопроводы подаются ингибиторы коррозии в необходимом количестве. Все протяженные и ответственные трубопроводы </w:t>
      </w:r>
      <w:r w:rsidRPr="007A5F5B">
        <w:rPr>
          <w:rFonts w:ascii="Tahoma" w:hAnsi="Tahoma" w:cs="Tahoma"/>
          <w:sz w:val="24"/>
          <w:szCs w:val="24"/>
        </w:rPr>
        <w:lastRenderedPageBreak/>
        <w:t>оснащаются средствами очистки и диагностики. В Компании регулярно в соответствии с графиками производит очистку и внутритрубную диагностику с последующим анализом результатов и разработкой технических отчетов с рекомендациями для профилактических мероприятий и подтверждения разрешенного срока эксплуатации</w:t>
      </w:r>
      <w:r w:rsidR="004F35AA" w:rsidRPr="007A5F5B">
        <w:rPr>
          <w:rFonts w:ascii="Tahoma" w:hAnsi="Tahoma" w:cs="Tahoma"/>
          <w:sz w:val="24"/>
          <w:szCs w:val="24"/>
        </w:rPr>
        <w:t>.</w:t>
      </w:r>
    </w:p>
    <w:p w:rsidR="00105B04" w:rsidRPr="007A5F5B" w:rsidRDefault="00105B04" w:rsidP="00DD2956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A5F5B">
        <w:rPr>
          <w:rFonts w:ascii="Tahoma" w:hAnsi="Tahoma" w:cs="Tahoma"/>
          <w:sz w:val="24"/>
          <w:szCs w:val="24"/>
        </w:rPr>
        <w:t xml:space="preserve">В </w:t>
      </w:r>
      <w:r w:rsidR="00CF6218">
        <w:rPr>
          <w:rFonts w:ascii="Tahoma" w:hAnsi="Tahoma" w:cs="Tahoma"/>
          <w:sz w:val="24"/>
          <w:szCs w:val="24"/>
        </w:rPr>
        <w:t xml:space="preserve">ГК </w:t>
      </w:r>
      <w:r w:rsidRPr="007A5F5B">
        <w:rPr>
          <w:rFonts w:ascii="Tahoma" w:hAnsi="Tahoma" w:cs="Tahoma"/>
          <w:sz w:val="24"/>
          <w:szCs w:val="24"/>
        </w:rPr>
        <w:t>АО «Зарубежнефть» внедрены автоматизированные производственные системы для контроля параметров трубопроводной системы и планирования технического обслуживания (АСОДУ – автоматизированная система оперативно-диспетчерского управления и АИС ЦНО – Автоматизированная система цел</w:t>
      </w:r>
      <w:r w:rsidR="004F35AA" w:rsidRPr="007A5F5B">
        <w:rPr>
          <w:rFonts w:ascii="Tahoma" w:hAnsi="Tahoma" w:cs="Tahoma"/>
          <w:sz w:val="24"/>
          <w:szCs w:val="24"/>
        </w:rPr>
        <w:t>остности наземного оборудования</w:t>
      </w:r>
      <w:r w:rsidRPr="007A5F5B">
        <w:rPr>
          <w:rFonts w:ascii="Tahoma" w:hAnsi="Tahoma" w:cs="Tahoma"/>
          <w:sz w:val="24"/>
          <w:szCs w:val="24"/>
        </w:rPr>
        <w:t>)</w:t>
      </w:r>
      <w:r w:rsidR="004F35AA" w:rsidRPr="007A5F5B">
        <w:rPr>
          <w:rFonts w:ascii="Tahoma" w:hAnsi="Tahoma" w:cs="Tahoma"/>
          <w:sz w:val="24"/>
          <w:szCs w:val="24"/>
        </w:rPr>
        <w:t>.</w:t>
      </w:r>
    </w:p>
    <w:sectPr w:rsidR="00105B04" w:rsidRPr="007A5F5B" w:rsidSect="00C262D3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810" w:rsidRDefault="009A2810" w:rsidP="00890CEF">
      <w:pPr>
        <w:spacing w:after="0" w:line="240" w:lineRule="auto"/>
      </w:pPr>
      <w:r>
        <w:separator/>
      </w:r>
    </w:p>
  </w:endnote>
  <w:endnote w:type="continuationSeparator" w:id="0">
    <w:p w:rsidR="009A2810" w:rsidRDefault="009A2810" w:rsidP="0089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810" w:rsidRPr="00D21986" w:rsidRDefault="009A2810" w:rsidP="00D21986">
    <w:pPr>
      <w:pStyle w:val="af0"/>
      <w:tabs>
        <w:tab w:val="clear" w:pos="4677"/>
        <w:tab w:val="clear" w:pos="9355"/>
      </w:tabs>
      <w:rPr>
        <w:rFonts w:ascii="Tahoma" w:eastAsia="Calibri" w:hAnsi="Tahoma" w:cs="Tahoma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810" w:rsidRPr="00114D5C" w:rsidRDefault="009A2810" w:rsidP="00114D5C">
    <w:pPr>
      <w:pStyle w:val="af0"/>
      <w:tabs>
        <w:tab w:val="clear" w:pos="4677"/>
        <w:tab w:val="clear" w:pos="9355"/>
      </w:tabs>
      <w:rPr>
        <w:rFonts w:ascii="Tahoma" w:eastAsia="Calibri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810" w:rsidRDefault="009A2810" w:rsidP="00890CEF">
      <w:pPr>
        <w:spacing w:after="0" w:line="240" w:lineRule="auto"/>
      </w:pPr>
      <w:r>
        <w:separator/>
      </w:r>
    </w:p>
  </w:footnote>
  <w:footnote w:type="continuationSeparator" w:id="0">
    <w:p w:rsidR="009A2810" w:rsidRDefault="009A2810" w:rsidP="0089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eastAsia="Calibri" w:hAnsi="Tahoma" w:cs="Tahoma"/>
        <w:noProof/>
        <w:sz w:val="20"/>
        <w:szCs w:val="20"/>
      </w:rPr>
      <w:id w:val="-2112340123"/>
      <w:docPartObj>
        <w:docPartGallery w:val="Page Numbers (Top of Page)"/>
        <w:docPartUnique/>
      </w:docPartObj>
    </w:sdtPr>
    <w:sdtEndPr/>
    <w:sdtContent>
      <w:p w:rsidR="009A2810" w:rsidRPr="00D21986" w:rsidRDefault="009A2810" w:rsidP="00D21986">
        <w:pPr>
          <w:pStyle w:val="ae"/>
          <w:tabs>
            <w:tab w:val="clear" w:pos="4677"/>
            <w:tab w:val="clear" w:pos="9355"/>
          </w:tabs>
          <w:jc w:val="center"/>
          <w:rPr>
            <w:rFonts w:ascii="Tahoma" w:eastAsia="Calibri" w:hAnsi="Tahoma" w:cs="Tahoma"/>
            <w:noProof/>
            <w:sz w:val="20"/>
            <w:szCs w:val="20"/>
          </w:rPr>
        </w:pPr>
        <w:r w:rsidRPr="00D21986">
          <w:rPr>
            <w:rFonts w:ascii="Tahoma" w:eastAsia="Calibri" w:hAnsi="Tahoma" w:cs="Tahoma"/>
            <w:noProof/>
            <w:sz w:val="20"/>
            <w:szCs w:val="20"/>
          </w:rPr>
          <w:fldChar w:fldCharType="begin"/>
        </w:r>
        <w:r w:rsidRPr="00D21986">
          <w:rPr>
            <w:rFonts w:ascii="Tahoma" w:eastAsia="Calibri" w:hAnsi="Tahoma" w:cs="Tahoma"/>
            <w:noProof/>
            <w:sz w:val="20"/>
            <w:szCs w:val="20"/>
          </w:rPr>
          <w:instrText>PAGE   \* MERGEFORMAT</w:instrText>
        </w:r>
        <w:r w:rsidRPr="00D21986">
          <w:rPr>
            <w:rFonts w:ascii="Tahoma" w:eastAsia="Calibri" w:hAnsi="Tahoma" w:cs="Tahoma"/>
            <w:noProof/>
            <w:sz w:val="20"/>
            <w:szCs w:val="20"/>
          </w:rPr>
          <w:fldChar w:fldCharType="separate"/>
        </w:r>
        <w:r w:rsidR="005B169D">
          <w:rPr>
            <w:rFonts w:ascii="Tahoma" w:eastAsia="Calibri" w:hAnsi="Tahoma" w:cs="Tahoma"/>
            <w:noProof/>
            <w:sz w:val="20"/>
            <w:szCs w:val="20"/>
          </w:rPr>
          <w:t>15</w:t>
        </w:r>
        <w:r w:rsidRPr="00D21986">
          <w:rPr>
            <w:rFonts w:ascii="Tahoma" w:eastAsia="Calibri" w:hAnsi="Tahoma" w:cs="Tahoma"/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810" w:rsidRPr="00114D5C" w:rsidRDefault="009A2810" w:rsidP="00114D5C">
    <w:pPr>
      <w:pStyle w:val="ae"/>
      <w:tabs>
        <w:tab w:val="clear" w:pos="4677"/>
        <w:tab w:val="clear" w:pos="9355"/>
      </w:tabs>
      <w:jc w:val="center"/>
      <w:rPr>
        <w:rFonts w:ascii="Tahoma" w:eastAsia="Calibri" w:hAnsi="Tahoma" w:cs="Tahoma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37D"/>
    <w:multiLevelType w:val="multilevel"/>
    <w:tmpl w:val="D8C6E3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D54C12"/>
    <w:multiLevelType w:val="hybridMultilevel"/>
    <w:tmpl w:val="288AB690"/>
    <w:lvl w:ilvl="0" w:tplc="54EE7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855D1"/>
    <w:multiLevelType w:val="hybridMultilevel"/>
    <w:tmpl w:val="EBAE2EE4"/>
    <w:lvl w:ilvl="0" w:tplc="54EE7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248F"/>
    <w:multiLevelType w:val="hybridMultilevel"/>
    <w:tmpl w:val="AFC6BB46"/>
    <w:lvl w:ilvl="0" w:tplc="3608286A">
      <w:start w:val="1"/>
      <w:numFmt w:val="decimal"/>
      <w:lvlText w:val="2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4FF1"/>
    <w:multiLevelType w:val="hybridMultilevel"/>
    <w:tmpl w:val="669A980E"/>
    <w:lvl w:ilvl="0" w:tplc="AE4A008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71107"/>
    <w:multiLevelType w:val="hybridMultilevel"/>
    <w:tmpl w:val="EB0A9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B6DCB"/>
    <w:multiLevelType w:val="hybridMultilevel"/>
    <w:tmpl w:val="A8CA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81F75"/>
    <w:multiLevelType w:val="hybridMultilevel"/>
    <w:tmpl w:val="EA86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47A25"/>
    <w:multiLevelType w:val="hybridMultilevel"/>
    <w:tmpl w:val="CC36A794"/>
    <w:lvl w:ilvl="0" w:tplc="15B2BAAC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C65C1"/>
    <w:multiLevelType w:val="hybridMultilevel"/>
    <w:tmpl w:val="65DE8FD4"/>
    <w:lvl w:ilvl="0" w:tplc="54EE7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C4D17"/>
    <w:multiLevelType w:val="hybridMultilevel"/>
    <w:tmpl w:val="1EEA46C2"/>
    <w:lvl w:ilvl="0" w:tplc="13F8561A">
      <w:start w:val="1"/>
      <w:numFmt w:val="upperRoman"/>
      <w:suff w:val="space"/>
      <w:lvlText w:val="РАЗДЕЛ 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534B1"/>
    <w:multiLevelType w:val="hybridMultilevel"/>
    <w:tmpl w:val="B008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A74F8"/>
    <w:multiLevelType w:val="multilevel"/>
    <w:tmpl w:val="47247C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520"/>
      </w:pPr>
      <w:rPr>
        <w:rFonts w:hint="default"/>
      </w:rPr>
    </w:lvl>
  </w:abstractNum>
  <w:abstractNum w:abstractNumId="13" w15:restartNumberingAfterBreak="0">
    <w:nsid w:val="301F60DA"/>
    <w:multiLevelType w:val="hybridMultilevel"/>
    <w:tmpl w:val="B44AF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D696C"/>
    <w:multiLevelType w:val="hybridMultilevel"/>
    <w:tmpl w:val="35683606"/>
    <w:lvl w:ilvl="0" w:tplc="6F1013D6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D3792"/>
    <w:multiLevelType w:val="hybridMultilevel"/>
    <w:tmpl w:val="18A4A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E6B8F"/>
    <w:multiLevelType w:val="hybridMultilevel"/>
    <w:tmpl w:val="762881E4"/>
    <w:lvl w:ilvl="0" w:tplc="6B86633C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002AE"/>
    <w:multiLevelType w:val="hybridMultilevel"/>
    <w:tmpl w:val="1ECCFB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07240"/>
    <w:multiLevelType w:val="hybridMultilevel"/>
    <w:tmpl w:val="A6BCEA90"/>
    <w:lvl w:ilvl="0" w:tplc="54EE7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A4220"/>
    <w:multiLevelType w:val="hybridMultilevel"/>
    <w:tmpl w:val="3CC6E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E5E6A"/>
    <w:multiLevelType w:val="hybridMultilevel"/>
    <w:tmpl w:val="A79225E2"/>
    <w:lvl w:ilvl="0" w:tplc="54EE7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A12CB"/>
    <w:multiLevelType w:val="hybridMultilevel"/>
    <w:tmpl w:val="299230A2"/>
    <w:lvl w:ilvl="0" w:tplc="1758001C">
      <w:start w:val="1"/>
      <w:numFmt w:val="upperRoman"/>
      <w:suff w:val="space"/>
      <w:lvlText w:val="РАЗДЕЛ 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03B65"/>
    <w:multiLevelType w:val="hybridMultilevel"/>
    <w:tmpl w:val="9CBC5BC6"/>
    <w:lvl w:ilvl="0" w:tplc="54EE7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C7031"/>
    <w:multiLevelType w:val="hybridMultilevel"/>
    <w:tmpl w:val="BA0E2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C6D24"/>
    <w:multiLevelType w:val="hybridMultilevel"/>
    <w:tmpl w:val="9E6C3D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AC1756"/>
    <w:multiLevelType w:val="multilevel"/>
    <w:tmpl w:val="D8C6E3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15606AB"/>
    <w:multiLevelType w:val="multilevel"/>
    <w:tmpl w:val="F14A3B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520"/>
      </w:pPr>
      <w:rPr>
        <w:rFonts w:hint="default"/>
      </w:rPr>
    </w:lvl>
  </w:abstractNum>
  <w:abstractNum w:abstractNumId="27" w15:restartNumberingAfterBreak="0">
    <w:nsid w:val="5904485A"/>
    <w:multiLevelType w:val="hybridMultilevel"/>
    <w:tmpl w:val="8BFCA478"/>
    <w:lvl w:ilvl="0" w:tplc="4FB433C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44835"/>
    <w:multiLevelType w:val="hybridMultilevel"/>
    <w:tmpl w:val="AE2C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C58D4"/>
    <w:multiLevelType w:val="hybridMultilevel"/>
    <w:tmpl w:val="21B801AA"/>
    <w:lvl w:ilvl="0" w:tplc="0F66F99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D29CE"/>
    <w:multiLevelType w:val="hybridMultilevel"/>
    <w:tmpl w:val="E938BB36"/>
    <w:lvl w:ilvl="0" w:tplc="61A20D84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721A2"/>
    <w:multiLevelType w:val="hybridMultilevel"/>
    <w:tmpl w:val="57720E98"/>
    <w:lvl w:ilvl="0" w:tplc="54EE7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D1066"/>
    <w:multiLevelType w:val="hybridMultilevel"/>
    <w:tmpl w:val="B33EEEA0"/>
    <w:lvl w:ilvl="0" w:tplc="54EE7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17740"/>
    <w:multiLevelType w:val="hybridMultilevel"/>
    <w:tmpl w:val="5D6C4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E74B7"/>
    <w:multiLevelType w:val="hybridMultilevel"/>
    <w:tmpl w:val="A1F6EA94"/>
    <w:lvl w:ilvl="0" w:tplc="54EE7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C4985"/>
    <w:multiLevelType w:val="hybridMultilevel"/>
    <w:tmpl w:val="BA2829D0"/>
    <w:lvl w:ilvl="0" w:tplc="E1AAC40C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D1CF0"/>
    <w:multiLevelType w:val="hybridMultilevel"/>
    <w:tmpl w:val="A16A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E66DD"/>
    <w:multiLevelType w:val="multilevel"/>
    <w:tmpl w:val="009A6C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520"/>
      </w:pPr>
      <w:rPr>
        <w:rFonts w:hint="default"/>
      </w:rPr>
    </w:lvl>
  </w:abstractNum>
  <w:abstractNum w:abstractNumId="38" w15:restartNumberingAfterBreak="0">
    <w:nsid w:val="7F176648"/>
    <w:multiLevelType w:val="hybridMultilevel"/>
    <w:tmpl w:val="4F46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37140"/>
    <w:multiLevelType w:val="hybridMultilevel"/>
    <w:tmpl w:val="F918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17"/>
  </w:num>
  <w:num w:numId="8">
    <w:abstractNumId w:val="7"/>
  </w:num>
  <w:num w:numId="9">
    <w:abstractNumId w:val="15"/>
  </w:num>
  <w:num w:numId="10">
    <w:abstractNumId w:val="36"/>
  </w:num>
  <w:num w:numId="11">
    <w:abstractNumId w:val="23"/>
  </w:num>
  <w:num w:numId="12">
    <w:abstractNumId w:val="39"/>
  </w:num>
  <w:num w:numId="13">
    <w:abstractNumId w:val="28"/>
  </w:num>
  <w:num w:numId="14">
    <w:abstractNumId w:val="33"/>
  </w:num>
  <w:num w:numId="15">
    <w:abstractNumId w:val="6"/>
  </w:num>
  <w:num w:numId="16">
    <w:abstractNumId w:val="19"/>
  </w:num>
  <w:num w:numId="17">
    <w:abstractNumId w:val="38"/>
  </w:num>
  <w:num w:numId="18">
    <w:abstractNumId w:val="37"/>
  </w:num>
  <w:num w:numId="19">
    <w:abstractNumId w:val="26"/>
  </w:num>
  <w:num w:numId="20">
    <w:abstractNumId w:val="12"/>
  </w:num>
  <w:num w:numId="21">
    <w:abstractNumId w:val="9"/>
  </w:num>
  <w:num w:numId="22">
    <w:abstractNumId w:val="2"/>
  </w:num>
  <w:num w:numId="23">
    <w:abstractNumId w:val="1"/>
  </w:num>
  <w:num w:numId="24">
    <w:abstractNumId w:val="22"/>
  </w:num>
  <w:num w:numId="25">
    <w:abstractNumId w:val="18"/>
  </w:num>
  <w:num w:numId="26">
    <w:abstractNumId w:val="20"/>
  </w:num>
  <w:num w:numId="27">
    <w:abstractNumId w:val="34"/>
  </w:num>
  <w:num w:numId="28">
    <w:abstractNumId w:val="31"/>
  </w:num>
  <w:num w:numId="29">
    <w:abstractNumId w:val="32"/>
  </w:num>
  <w:num w:numId="30">
    <w:abstractNumId w:val="10"/>
  </w:num>
  <w:num w:numId="31">
    <w:abstractNumId w:val="21"/>
  </w:num>
  <w:num w:numId="32">
    <w:abstractNumId w:val="27"/>
  </w:num>
  <w:num w:numId="33">
    <w:abstractNumId w:val="16"/>
  </w:num>
  <w:num w:numId="34">
    <w:abstractNumId w:val="3"/>
  </w:num>
  <w:num w:numId="35">
    <w:abstractNumId w:val="4"/>
  </w:num>
  <w:num w:numId="36">
    <w:abstractNumId w:val="29"/>
  </w:num>
  <w:num w:numId="37">
    <w:abstractNumId w:val="30"/>
  </w:num>
  <w:num w:numId="38">
    <w:abstractNumId w:val="14"/>
  </w:num>
  <w:num w:numId="39">
    <w:abstractNumId w:val="8"/>
  </w:num>
  <w:num w:numId="40">
    <w:abstractNumId w:val="35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EF"/>
    <w:rsid w:val="0000292F"/>
    <w:rsid w:val="00014CA6"/>
    <w:rsid w:val="0002611E"/>
    <w:rsid w:val="000315C0"/>
    <w:rsid w:val="000549C5"/>
    <w:rsid w:val="00054CDC"/>
    <w:rsid w:val="000563FA"/>
    <w:rsid w:val="000571B4"/>
    <w:rsid w:val="00062F10"/>
    <w:rsid w:val="00063422"/>
    <w:rsid w:val="000648F8"/>
    <w:rsid w:val="00074D96"/>
    <w:rsid w:val="00075565"/>
    <w:rsid w:val="000819D2"/>
    <w:rsid w:val="000820B6"/>
    <w:rsid w:val="0008405C"/>
    <w:rsid w:val="00090138"/>
    <w:rsid w:val="00090B0F"/>
    <w:rsid w:val="00090F4A"/>
    <w:rsid w:val="000A6586"/>
    <w:rsid w:val="000A6604"/>
    <w:rsid w:val="000A7627"/>
    <w:rsid w:val="000C377A"/>
    <w:rsid w:val="000D0272"/>
    <w:rsid w:val="000D7E43"/>
    <w:rsid w:val="000E0414"/>
    <w:rsid w:val="000E06D2"/>
    <w:rsid w:val="000E3446"/>
    <w:rsid w:val="000E4150"/>
    <w:rsid w:val="000E5065"/>
    <w:rsid w:val="000E6F2F"/>
    <w:rsid w:val="001008BF"/>
    <w:rsid w:val="00102372"/>
    <w:rsid w:val="00105B04"/>
    <w:rsid w:val="00114D5C"/>
    <w:rsid w:val="001153D6"/>
    <w:rsid w:val="00116D58"/>
    <w:rsid w:val="001257F1"/>
    <w:rsid w:val="0013447B"/>
    <w:rsid w:val="00145251"/>
    <w:rsid w:val="00146284"/>
    <w:rsid w:val="00161FF8"/>
    <w:rsid w:val="001651EE"/>
    <w:rsid w:val="001752E9"/>
    <w:rsid w:val="00176D32"/>
    <w:rsid w:val="00180AA3"/>
    <w:rsid w:val="00187BD7"/>
    <w:rsid w:val="00191979"/>
    <w:rsid w:val="00191D07"/>
    <w:rsid w:val="00191EC1"/>
    <w:rsid w:val="0019342D"/>
    <w:rsid w:val="001A0C0A"/>
    <w:rsid w:val="001C4D3F"/>
    <w:rsid w:val="001C55F9"/>
    <w:rsid w:val="001F0269"/>
    <w:rsid w:val="002011CB"/>
    <w:rsid w:val="00202CED"/>
    <w:rsid w:val="00202D5E"/>
    <w:rsid w:val="00206F90"/>
    <w:rsid w:val="0021028C"/>
    <w:rsid w:val="00212D86"/>
    <w:rsid w:val="00221960"/>
    <w:rsid w:val="002221C6"/>
    <w:rsid w:val="002374DB"/>
    <w:rsid w:val="00245095"/>
    <w:rsid w:val="00253914"/>
    <w:rsid w:val="0025477C"/>
    <w:rsid w:val="00256856"/>
    <w:rsid w:val="00273E08"/>
    <w:rsid w:val="00281102"/>
    <w:rsid w:val="002A0B19"/>
    <w:rsid w:val="002B061B"/>
    <w:rsid w:val="002B0960"/>
    <w:rsid w:val="002B2744"/>
    <w:rsid w:val="002B3DAD"/>
    <w:rsid w:val="002B421B"/>
    <w:rsid w:val="002B485E"/>
    <w:rsid w:val="002B7AC1"/>
    <w:rsid w:val="002C170F"/>
    <w:rsid w:val="002D4892"/>
    <w:rsid w:val="002E2B21"/>
    <w:rsid w:val="002F0FDE"/>
    <w:rsid w:val="002F6A2E"/>
    <w:rsid w:val="00300015"/>
    <w:rsid w:val="00300230"/>
    <w:rsid w:val="003005EE"/>
    <w:rsid w:val="0030224E"/>
    <w:rsid w:val="00302B82"/>
    <w:rsid w:val="003069CD"/>
    <w:rsid w:val="00312B7D"/>
    <w:rsid w:val="00317D33"/>
    <w:rsid w:val="00321C0C"/>
    <w:rsid w:val="00325C00"/>
    <w:rsid w:val="003260A7"/>
    <w:rsid w:val="0033432F"/>
    <w:rsid w:val="00343CAA"/>
    <w:rsid w:val="003512D2"/>
    <w:rsid w:val="00352EA8"/>
    <w:rsid w:val="0035585E"/>
    <w:rsid w:val="00357681"/>
    <w:rsid w:val="00377738"/>
    <w:rsid w:val="00377D17"/>
    <w:rsid w:val="00380F63"/>
    <w:rsid w:val="0039018F"/>
    <w:rsid w:val="00390BE5"/>
    <w:rsid w:val="00397C15"/>
    <w:rsid w:val="003A0915"/>
    <w:rsid w:val="003B1B27"/>
    <w:rsid w:val="003B3D01"/>
    <w:rsid w:val="003B4498"/>
    <w:rsid w:val="003B627D"/>
    <w:rsid w:val="003B7071"/>
    <w:rsid w:val="003C25A0"/>
    <w:rsid w:val="003C4E54"/>
    <w:rsid w:val="003C649D"/>
    <w:rsid w:val="003C7D48"/>
    <w:rsid w:val="003D4C49"/>
    <w:rsid w:val="003D5092"/>
    <w:rsid w:val="003E4619"/>
    <w:rsid w:val="003E6EF6"/>
    <w:rsid w:val="003F145E"/>
    <w:rsid w:val="003F42D1"/>
    <w:rsid w:val="004009AE"/>
    <w:rsid w:val="00400B8F"/>
    <w:rsid w:val="00402A00"/>
    <w:rsid w:val="00413DC7"/>
    <w:rsid w:val="0041726D"/>
    <w:rsid w:val="00423DD0"/>
    <w:rsid w:val="004252CA"/>
    <w:rsid w:val="0043159A"/>
    <w:rsid w:val="00432212"/>
    <w:rsid w:val="00454559"/>
    <w:rsid w:val="00456F14"/>
    <w:rsid w:val="00463C55"/>
    <w:rsid w:val="00476B3A"/>
    <w:rsid w:val="00481AD9"/>
    <w:rsid w:val="0049793D"/>
    <w:rsid w:val="004A52D8"/>
    <w:rsid w:val="004A6B59"/>
    <w:rsid w:val="004A7330"/>
    <w:rsid w:val="004B27DA"/>
    <w:rsid w:val="004B4D96"/>
    <w:rsid w:val="004B67E7"/>
    <w:rsid w:val="004C4DA3"/>
    <w:rsid w:val="004C6F1F"/>
    <w:rsid w:val="004D0FBD"/>
    <w:rsid w:val="004D72A0"/>
    <w:rsid w:val="004E1666"/>
    <w:rsid w:val="004E31D4"/>
    <w:rsid w:val="004F35AA"/>
    <w:rsid w:val="004F5BB5"/>
    <w:rsid w:val="00500A96"/>
    <w:rsid w:val="0050215F"/>
    <w:rsid w:val="00504EC2"/>
    <w:rsid w:val="0050662F"/>
    <w:rsid w:val="0051354E"/>
    <w:rsid w:val="00515685"/>
    <w:rsid w:val="00516F0D"/>
    <w:rsid w:val="00524976"/>
    <w:rsid w:val="005265BB"/>
    <w:rsid w:val="0052788B"/>
    <w:rsid w:val="005338F9"/>
    <w:rsid w:val="00536A17"/>
    <w:rsid w:val="00545676"/>
    <w:rsid w:val="00546F27"/>
    <w:rsid w:val="00555216"/>
    <w:rsid w:val="00556172"/>
    <w:rsid w:val="005601F0"/>
    <w:rsid w:val="005824DC"/>
    <w:rsid w:val="00582904"/>
    <w:rsid w:val="005830D7"/>
    <w:rsid w:val="005878A5"/>
    <w:rsid w:val="005A47E9"/>
    <w:rsid w:val="005B169D"/>
    <w:rsid w:val="005B1C5D"/>
    <w:rsid w:val="005B4321"/>
    <w:rsid w:val="005B4E0F"/>
    <w:rsid w:val="005B7AFA"/>
    <w:rsid w:val="005C2347"/>
    <w:rsid w:val="005C4873"/>
    <w:rsid w:val="005D1F4F"/>
    <w:rsid w:val="005D27BB"/>
    <w:rsid w:val="005D51C0"/>
    <w:rsid w:val="005D663F"/>
    <w:rsid w:val="005D683B"/>
    <w:rsid w:val="005D713B"/>
    <w:rsid w:val="005D78B2"/>
    <w:rsid w:val="005E42B6"/>
    <w:rsid w:val="005F5603"/>
    <w:rsid w:val="00601C78"/>
    <w:rsid w:val="00615100"/>
    <w:rsid w:val="00621C85"/>
    <w:rsid w:val="00645B26"/>
    <w:rsid w:val="00646A2F"/>
    <w:rsid w:val="00651B49"/>
    <w:rsid w:val="0066182B"/>
    <w:rsid w:val="00667149"/>
    <w:rsid w:val="0067023E"/>
    <w:rsid w:val="006761DD"/>
    <w:rsid w:val="00676E19"/>
    <w:rsid w:val="00677846"/>
    <w:rsid w:val="0068110E"/>
    <w:rsid w:val="00682BF3"/>
    <w:rsid w:val="00694F0D"/>
    <w:rsid w:val="0069661F"/>
    <w:rsid w:val="006C5748"/>
    <w:rsid w:val="006C6501"/>
    <w:rsid w:val="006C6514"/>
    <w:rsid w:val="006C73DE"/>
    <w:rsid w:val="006C79F0"/>
    <w:rsid w:val="006D1104"/>
    <w:rsid w:val="006D7625"/>
    <w:rsid w:val="006F5DEC"/>
    <w:rsid w:val="00704AAE"/>
    <w:rsid w:val="00706528"/>
    <w:rsid w:val="00715CB9"/>
    <w:rsid w:val="00716AEE"/>
    <w:rsid w:val="00723A7A"/>
    <w:rsid w:val="00724BA4"/>
    <w:rsid w:val="00730E73"/>
    <w:rsid w:val="00731561"/>
    <w:rsid w:val="0074729D"/>
    <w:rsid w:val="007502F5"/>
    <w:rsid w:val="00751A08"/>
    <w:rsid w:val="007605D5"/>
    <w:rsid w:val="007660B2"/>
    <w:rsid w:val="00770C78"/>
    <w:rsid w:val="00771D0C"/>
    <w:rsid w:val="00777A07"/>
    <w:rsid w:val="007959C3"/>
    <w:rsid w:val="007960FC"/>
    <w:rsid w:val="007A0AC3"/>
    <w:rsid w:val="007A5F5B"/>
    <w:rsid w:val="007A778D"/>
    <w:rsid w:val="007B2365"/>
    <w:rsid w:val="007B292E"/>
    <w:rsid w:val="007C79B9"/>
    <w:rsid w:val="007D711D"/>
    <w:rsid w:val="007E1E5C"/>
    <w:rsid w:val="007F7B1C"/>
    <w:rsid w:val="00801669"/>
    <w:rsid w:val="00801C43"/>
    <w:rsid w:val="008033B4"/>
    <w:rsid w:val="00804396"/>
    <w:rsid w:val="00811D63"/>
    <w:rsid w:val="00824934"/>
    <w:rsid w:val="00833E5B"/>
    <w:rsid w:val="0084101A"/>
    <w:rsid w:val="0085015A"/>
    <w:rsid w:val="00853EBE"/>
    <w:rsid w:val="00856B76"/>
    <w:rsid w:val="00862F19"/>
    <w:rsid w:val="00863A07"/>
    <w:rsid w:val="008678D9"/>
    <w:rsid w:val="0087127C"/>
    <w:rsid w:val="00874B69"/>
    <w:rsid w:val="00881C89"/>
    <w:rsid w:val="00886A67"/>
    <w:rsid w:val="00890CEF"/>
    <w:rsid w:val="008A1066"/>
    <w:rsid w:val="008A1FFA"/>
    <w:rsid w:val="008B2838"/>
    <w:rsid w:val="008C3698"/>
    <w:rsid w:val="008D12F0"/>
    <w:rsid w:val="008D3D2C"/>
    <w:rsid w:val="008E2573"/>
    <w:rsid w:val="008E5096"/>
    <w:rsid w:val="008F0D46"/>
    <w:rsid w:val="008F3B59"/>
    <w:rsid w:val="008F466B"/>
    <w:rsid w:val="00903AD7"/>
    <w:rsid w:val="00913C25"/>
    <w:rsid w:val="00914EDA"/>
    <w:rsid w:val="00944395"/>
    <w:rsid w:val="00945A57"/>
    <w:rsid w:val="00947413"/>
    <w:rsid w:val="00966633"/>
    <w:rsid w:val="00967B44"/>
    <w:rsid w:val="00976BA4"/>
    <w:rsid w:val="009778F8"/>
    <w:rsid w:val="00983808"/>
    <w:rsid w:val="00986AA6"/>
    <w:rsid w:val="0099114F"/>
    <w:rsid w:val="0099571A"/>
    <w:rsid w:val="009A2810"/>
    <w:rsid w:val="009A5634"/>
    <w:rsid w:val="009B3B78"/>
    <w:rsid w:val="009B4B98"/>
    <w:rsid w:val="009C7118"/>
    <w:rsid w:val="009D3A9F"/>
    <w:rsid w:val="009E2969"/>
    <w:rsid w:val="009E75A9"/>
    <w:rsid w:val="009F2913"/>
    <w:rsid w:val="009F3507"/>
    <w:rsid w:val="00A06FA6"/>
    <w:rsid w:val="00A11334"/>
    <w:rsid w:val="00A12B81"/>
    <w:rsid w:val="00A14CE1"/>
    <w:rsid w:val="00A3040E"/>
    <w:rsid w:val="00A52B8F"/>
    <w:rsid w:val="00A6375F"/>
    <w:rsid w:val="00A70A0D"/>
    <w:rsid w:val="00A73D8D"/>
    <w:rsid w:val="00A744BA"/>
    <w:rsid w:val="00A82C1C"/>
    <w:rsid w:val="00A855B9"/>
    <w:rsid w:val="00AA0573"/>
    <w:rsid w:val="00AA3C04"/>
    <w:rsid w:val="00AB274C"/>
    <w:rsid w:val="00AB4DF2"/>
    <w:rsid w:val="00AC0A04"/>
    <w:rsid w:val="00AD3922"/>
    <w:rsid w:val="00AD779E"/>
    <w:rsid w:val="00AE0F2C"/>
    <w:rsid w:val="00AE588E"/>
    <w:rsid w:val="00AE5EEC"/>
    <w:rsid w:val="00AE7449"/>
    <w:rsid w:val="00AF10B5"/>
    <w:rsid w:val="00AF19EE"/>
    <w:rsid w:val="00AF3007"/>
    <w:rsid w:val="00AF7F5C"/>
    <w:rsid w:val="00B064A5"/>
    <w:rsid w:val="00B20A94"/>
    <w:rsid w:val="00B21832"/>
    <w:rsid w:val="00B334CD"/>
    <w:rsid w:val="00B36C9D"/>
    <w:rsid w:val="00B4323A"/>
    <w:rsid w:val="00B46838"/>
    <w:rsid w:val="00B62AF4"/>
    <w:rsid w:val="00B65AFC"/>
    <w:rsid w:val="00B75788"/>
    <w:rsid w:val="00B77393"/>
    <w:rsid w:val="00B80244"/>
    <w:rsid w:val="00B81503"/>
    <w:rsid w:val="00B81A78"/>
    <w:rsid w:val="00B84F0B"/>
    <w:rsid w:val="00B9725F"/>
    <w:rsid w:val="00BA4192"/>
    <w:rsid w:val="00BA5036"/>
    <w:rsid w:val="00BA6607"/>
    <w:rsid w:val="00BA679B"/>
    <w:rsid w:val="00BC6926"/>
    <w:rsid w:val="00BD19E3"/>
    <w:rsid w:val="00BD3B34"/>
    <w:rsid w:val="00BF6F3E"/>
    <w:rsid w:val="00C03325"/>
    <w:rsid w:val="00C050C8"/>
    <w:rsid w:val="00C12048"/>
    <w:rsid w:val="00C1291E"/>
    <w:rsid w:val="00C217C7"/>
    <w:rsid w:val="00C262D3"/>
    <w:rsid w:val="00C35A4F"/>
    <w:rsid w:val="00C45E9C"/>
    <w:rsid w:val="00C4728F"/>
    <w:rsid w:val="00C54188"/>
    <w:rsid w:val="00C5560A"/>
    <w:rsid w:val="00C5610C"/>
    <w:rsid w:val="00C73A7C"/>
    <w:rsid w:val="00C74C23"/>
    <w:rsid w:val="00C839EC"/>
    <w:rsid w:val="00C85E56"/>
    <w:rsid w:val="00CA5535"/>
    <w:rsid w:val="00CB3446"/>
    <w:rsid w:val="00CB435A"/>
    <w:rsid w:val="00CC31BE"/>
    <w:rsid w:val="00CD0EE6"/>
    <w:rsid w:val="00CD259E"/>
    <w:rsid w:val="00CE0585"/>
    <w:rsid w:val="00CE5921"/>
    <w:rsid w:val="00CE6E7D"/>
    <w:rsid w:val="00CF47A0"/>
    <w:rsid w:val="00CF6218"/>
    <w:rsid w:val="00D03788"/>
    <w:rsid w:val="00D10295"/>
    <w:rsid w:val="00D13322"/>
    <w:rsid w:val="00D167AB"/>
    <w:rsid w:val="00D21986"/>
    <w:rsid w:val="00D2393F"/>
    <w:rsid w:val="00D3381D"/>
    <w:rsid w:val="00D33E77"/>
    <w:rsid w:val="00D518F3"/>
    <w:rsid w:val="00D63AA9"/>
    <w:rsid w:val="00D77EB0"/>
    <w:rsid w:val="00D821EC"/>
    <w:rsid w:val="00D904D7"/>
    <w:rsid w:val="00D969C2"/>
    <w:rsid w:val="00D96CB7"/>
    <w:rsid w:val="00DA0FDC"/>
    <w:rsid w:val="00DA4476"/>
    <w:rsid w:val="00DC2AFB"/>
    <w:rsid w:val="00DC47CA"/>
    <w:rsid w:val="00DC655B"/>
    <w:rsid w:val="00DC6983"/>
    <w:rsid w:val="00DC7F5F"/>
    <w:rsid w:val="00DD0748"/>
    <w:rsid w:val="00DD2956"/>
    <w:rsid w:val="00DD748A"/>
    <w:rsid w:val="00DE1BFB"/>
    <w:rsid w:val="00DE61B0"/>
    <w:rsid w:val="00DE71C8"/>
    <w:rsid w:val="00DE75E1"/>
    <w:rsid w:val="00DF17E1"/>
    <w:rsid w:val="00E036C8"/>
    <w:rsid w:val="00E15B34"/>
    <w:rsid w:val="00E25CAC"/>
    <w:rsid w:val="00E30253"/>
    <w:rsid w:val="00E34850"/>
    <w:rsid w:val="00E43ED9"/>
    <w:rsid w:val="00E52553"/>
    <w:rsid w:val="00E602E7"/>
    <w:rsid w:val="00E6328A"/>
    <w:rsid w:val="00E654AB"/>
    <w:rsid w:val="00E667D3"/>
    <w:rsid w:val="00E70B15"/>
    <w:rsid w:val="00E71DEE"/>
    <w:rsid w:val="00E74611"/>
    <w:rsid w:val="00E75091"/>
    <w:rsid w:val="00E95B87"/>
    <w:rsid w:val="00EC321E"/>
    <w:rsid w:val="00ED1373"/>
    <w:rsid w:val="00ED4424"/>
    <w:rsid w:val="00EE412B"/>
    <w:rsid w:val="00EF2BF7"/>
    <w:rsid w:val="00F01D75"/>
    <w:rsid w:val="00F05FB8"/>
    <w:rsid w:val="00F11890"/>
    <w:rsid w:val="00F2040C"/>
    <w:rsid w:val="00F311DC"/>
    <w:rsid w:val="00F44D41"/>
    <w:rsid w:val="00F55ADA"/>
    <w:rsid w:val="00F5702B"/>
    <w:rsid w:val="00F60905"/>
    <w:rsid w:val="00F6327C"/>
    <w:rsid w:val="00F64332"/>
    <w:rsid w:val="00F66F50"/>
    <w:rsid w:val="00F7046C"/>
    <w:rsid w:val="00F727DB"/>
    <w:rsid w:val="00F738FF"/>
    <w:rsid w:val="00F77959"/>
    <w:rsid w:val="00F81FCB"/>
    <w:rsid w:val="00F8567E"/>
    <w:rsid w:val="00F95F54"/>
    <w:rsid w:val="00F9678E"/>
    <w:rsid w:val="00FA033F"/>
    <w:rsid w:val="00FA11E2"/>
    <w:rsid w:val="00FB5AA0"/>
    <w:rsid w:val="00FC2958"/>
    <w:rsid w:val="00FC497E"/>
    <w:rsid w:val="00FD1340"/>
    <w:rsid w:val="00FD4047"/>
    <w:rsid w:val="00FD6354"/>
    <w:rsid w:val="00F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785FB-4CEF-4401-9490-48319986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43"/>
  </w:style>
  <w:style w:type="paragraph" w:styleId="1">
    <w:name w:val="heading 1"/>
    <w:basedOn w:val="a"/>
    <w:next w:val="a"/>
    <w:link w:val="10"/>
    <w:uiPriority w:val="9"/>
    <w:qFormat/>
    <w:rsid w:val="00890C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0C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7118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0C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90C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890C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890CEF"/>
    <w:pPr>
      <w:outlineLvl w:val="9"/>
    </w:pPr>
    <w:rPr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890C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90CEF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890C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890CE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54CDC"/>
    <w:pPr>
      <w:tabs>
        <w:tab w:val="left" w:pos="660"/>
        <w:tab w:val="right" w:leader="dot" w:pos="9488"/>
      </w:tabs>
      <w:spacing w:after="100"/>
      <w:ind w:left="220"/>
      <w:jc w:val="both"/>
    </w:pPr>
    <w:rPr>
      <w:rFonts w:ascii="Tahoma" w:hAnsi="Tahoma" w:cs="Tahoma"/>
      <w:noProof/>
      <w:color w:val="000000" w:themeColor="text1"/>
    </w:rPr>
  </w:style>
  <w:style w:type="character" w:styleId="a8">
    <w:name w:val="Hyperlink"/>
    <w:basedOn w:val="a0"/>
    <w:uiPriority w:val="99"/>
    <w:unhideWhenUsed/>
    <w:rsid w:val="00890CEF"/>
    <w:rPr>
      <w:color w:val="0563C1" w:themeColor="hyperlink"/>
      <w:u w:val="single"/>
    </w:rPr>
  </w:style>
  <w:style w:type="character" w:styleId="a9">
    <w:name w:val="annotation reference"/>
    <w:semiHidden/>
    <w:rsid w:val="00DC6983"/>
    <w:rPr>
      <w:sz w:val="16"/>
    </w:rPr>
  </w:style>
  <w:style w:type="paragraph" w:styleId="aa">
    <w:name w:val="footnote text"/>
    <w:basedOn w:val="a"/>
    <w:link w:val="ab"/>
    <w:uiPriority w:val="99"/>
    <w:rsid w:val="00DC698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C6983"/>
    <w:rPr>
      <w:rFonts w:ascii="Calibri" w:eastAsia="Times New Roman" w:hAnsi="Calibri" w:cs="Calibri"/>
      <w:sz w:val="20"/>
      <w:szCs w:val="20"/>
    </w:rPr>
  </w:style>
  <w:style w:type="character" w:styleId="ac">
    <w:name w:val="footnote reference"/>
    <w:uiPriority w:val="99"/>
    <w:rsid w:val="00DC6983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DC6983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DC6983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94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45A57"/>
  </w:style>
  <w:style w:type="paragraph" w:styleId="af0">
    <w:name w:val="footer"/>
    <w:basedOn w:val="a"/>
    <w:link w:val="af1"/>
    <w:uiPriority w:val="99"/>
    <w:unhideWhenUsed/>
    <w:rsid w:val="0094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45A57"/>
  </w:style>
  <w:style w:type="character" w:styleId="af2">
    <w:name w:val="FollowedHyperlink"/>
    <w:basedOn w:val="a0"/>
    <w:uiPriority w:val="99"/>
    <w:semiHidden/>
    <w:unhideWhenUsed/>
    <w:rsid w:val="00751A08"/>
    <w:rPr>
      <w:color w:val="954F72" w:themeColor="followedHyperlink"/>
      <w:u w:val="single"/>
    </w:rPr>
  </w:style>
  <w:style w:type="character" w:customStyle="1" w:styleId="af3">
    <w:name w:val="Нет"/>
    <w:rsid w:val="00FC497E"/>
  </w:style>
  <w:style w:type="table" w:customStyle="1" w:styleId="TableNormal">
    <w:name w:val="Table Normal"/>
    <w:rsid w:val="004009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annotation text"/>
    <w:basedOn w:val="a"/>
    <w:link w:val="af5"/>
    <w:uiPriority w:val="99"/>
    <w:semiHidden/>
    <w:unhideWhenUsed/>
    <w:rsid w:val="00357681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57681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91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919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C47C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C7118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413DC7"/>
    <w:pPr>
      <w:spacing w:after="100"/>
      <w:ind w:left="440"/>
    </w:pPr>
  </w:style>
  <w:style w:type="table" w:styleId="af8">
    <w:name w:val="Table Grid"/>
    <w:basedOn w:val="a1"/>
    <w:uiPriority w:val="39"/>
    <w:rsid w:val="0040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nestro.ru/media/filer_public/61/1d/611d3501-56a5-4f9f-8836-969bfaad571a/_______.pdf" TargetMode="External"/><Relationship Id="rId18" Type="http://schemas.openxmlformats.org/officeDocument/2006/relationships/hyperlink" Target="http://www.nestro.ru/ru/ustoichivoe_razvitie/goryachaya-liniya-bezopasnosti-oao-zarubezhnef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nestro.ru/ru/ustoichivoe_razvitie/goryachaya-liniya-bezopasnosti-oao-zarubezhnef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estro.ru/media/filer_public/6e/1f/6e1f1a7b-00a3-4dd7-8705-29e9842bcd6b/_____202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nestro.ru/media/filer_public/56/a6/56a6ffe1-ec19-495f-a36b-3b16eeaedb2d/zn_listovki_web.pdf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nestro.ru/media/filer_public/e7/0e/e70e019d-e41a-4a7c-9467-72eb0d654e63/___30_05_2019_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D01E2-42D7-4464-9736-01A220FA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4571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Игонин Михаил Евгеньевич</dc:creator>
  <cp:keywords/>
  <dc:description/>
  <cp:lastModifiedBy>Головнева Мария Сергеевна</cp:lastModifiedBy>
  <cp:revision>2</cp:revision>
  <cp:lastPrinted>2022-10-03T11:13:00Z</cp:lastPrinted>
  <dcterms:created xsi:type="dcterms:W3CDTF">2022-10-14T12:32:00Z</dcterms:created>
  <dcterms:modified xsi:type="dcterms:W3CDTF">2022-10-14T12:32:00Z</dcterms:modified>
</cp:coreProperties>
</file>